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AARP/364/2020 vom 9. November 2020</w:t>
      </w:r>
    </w:p>
    <w:p>
      <w:r>
        <w:t>GE Cour de justice, 2020-11-09, FR</w:t>
      </w:r>
    </w:p>
    <w:p>
      <w:r>
        <w:rPr>
          <w:b/>
        </w:rPr>
        <w:t xml:space="preserve">Quelle: </w:t>
      </w:r>
      <w:r>
        <w:t>https://mcp.opencaselaw.ch/entscheid/ge_gerichte_AARP_364_2020</w:t>
      </w:r>
    </w:p>
    <w:p>
      <w:r>
        <w:t>FR: GE_GERICHTE AARP/364/2020 du 9 novembre 2020</w:t>
      </w:r>
    </w:p>
    <w:p>
      <w:r>
        <w:t>IT: GE_GERICHTE AARP/364/2020 del 9 novembre 2020</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.2.2. Dès lors que les faits objets de la présente procédure sont antérieurs à l'ordonnance pénale prononcée par le MP le 6 mars 2020, il convient de fixer une peine complémentaire à la peine de 170 jours de peine privative de liberté précédemment prononcée (art. 49 al. 2 CP), ces peines étant de même genre. L'infraction reprochée dans la présente procédure est de gravité légèrement supérieure à celle reprochée dans l'ordonnance pénale du 6 mars 2020 dès lors que la période pénale en cause est de trois mois et demi contre deux mois pour les faits déjà jugés. Si les diverses infractions avaient fait l'objet d'un seul jugement, le juge, pour l'infraction abstraitement la plus grave, soit la rupture de ban pour la période pénale du 7 septembre 2019 au 28 décembre 2019, aurait fixé une peine de 150 jours. Cette peine, de base, aurait été augmentée, pour sanctionner la seconde rupture de ban (du 29 décembre 2019 au 5 mars 2020) dans une juste proportion de 50 jours (peine théorique de 100 jours). Cette peine globale, soustraite à la peine de 170 jours initialement formulée, conduit au prononcé d'une peine complémentaire de 30 jours. La peine prononcée en première instance sera donc confirmée. L'appelant sera condamné à une peine privative de liberté de 30 jours, sous déduction d'un jour avant jugement, peine complémentaire à celle prononcée le 6 mars 2020 par le MP.</w:t>
      </w:r>
    </w:p>
    <w:p>
      <w:r>
        <w:t>- 7/10 - P/25954/2019</w:t>
      </w:r>
    </w:p>
    <w:p>
      <w:r>
        <w:rPr>
          <w:b/>
        </w:rPr>
        <w:t>E. 3</w:t>
      </w:r>
    </w:p>
    <w:p>
      <w:r>
        <w:t>L'appelant, qui succombe, supportera les frais de la procédure envers l'État comprenant un émolument de CHF 1'500.- (art. 428 CPP et 14 al. 1 let. e du règlement fixant le tarif des frais en matière pénale (RTFMP).</w:t>
      </w:r>
    </w:p>
    <w:p>
      <w:r>
        <w:rPr>
          <w:b/>
        </w:rPr>
        <w:t>E. 4</w:t>
      </w:r>
    </w:p>
    <w:p>
      <w:r>
        <w:t>Considéré globalement, l'état de frais produit par Me B______, défenseure d'office de l'appelant paraît adéquat et sera donc accepté.</w:t>
      </w:r>
    </w:p>
    <w:p>
      <w:r>
        <w:t>La rémunération de Me B______ sera partant arrêtée à CHF 743.15 correspondant à 1h30 d'activité au tarif de CHF 200.-/heure et 2h30 d'activité au tarif de CHF 110.- /heure, majoré du forfait de 20%, ainsi que la TVA à CHF 53.15. * * * * *</w:t>
      </w:r>
    </w:p>
    <w:p>
      <w:r>
        <w:t>- 8/10 - P/25954/2019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