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AARP/364/2013 vom 20. August 2013</w:t>
      </w:r>
    </w:p>
    <w:p>
      <w:r>
        <w:t>GE Cour de justice, 2013-08-20, FR</w:t>
      </w:r>
    </w:p>
    <w:p>
      <w:r>
        <w:rPr>
          <w:b/>
        </w:rPr>
        <w:t xml:space="preserve">Quelle: </w:t>
      </w:r>
      <w:r>
        <w:t>https://mcp.opencaselaw.ch/entscheid/ge_gerichte_AARP_364_2013</w:t>
      </w:r>
    </w:p>
    <w:p>
      <w:r>
        <w:t>FR: GE_GERICHTE AARP/364/2013 du 20 août 2013</w:t>
      </w:r>
    </w:p>
    <w:p>
      <w:r>
        <w:t>IT: GE_GERICHTE AARP/364/2013 del 20 agosto 2013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- 5/11 - P/12777/2012</w:t>
      </w:r>
    </w:p>
    <w:p>
      <w:r>
        <w:t>1.2.1 L'art. 399 CPP, qui régit la déclaration d'appel, prévoit que celle-ci doit notamment indiquer si le jugement est attaqué dans son ensemble ou seulement sur certaines parties.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1.2.2 En l'espèce, l'appelant n'a pas indiqué, dans sa déclaration d'appel, qu'il contestait le jugement dans son entier et il s’est contenté de prendre des conclusions tendant à son acquittement s’agissant d'un chef d'accusation, à l'octroi du sursis partiel et à la non révocation du précédent sursis, sans demander une réduction de la peine. Dans ces circonstances le grief développé dans le mémoire d'appel sur la quotité de la peine - laquelle n’est à tout le moins pas illégale ou inéquitable - doit être tenu pour tardif. La quotité de la peine ne sera partant revue qu’en cas d’acquittement partiel.</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- 6/11 - P/12777/2012</w:t>
      </w:r>
    </w:p>
    <w:p>
      <w:r>
        <w:rPr>
          <w:b/>
        </w:rPr>
        <w:t>E. 2.2</w:t>
      </w:r>
    </w:p>
    <w:p>
      <w:r>
        <w:t>Les déclarations, au demeurant variables, de l'appelant selon lesquelles il aurait quitté la Suisse après sa condamnation du 2 avril 2012 pour n’y revenir qu’aux environs des 20-25 août ou, plutôt, le 11 août 2012, date à laquelle il a été contrôlé, sont contredites, de façon tout à fait certaine, par le fait qu'il a également été contrôlé le 30 juin 2012. Il n'est pas non plus vraisemblable qu'il ait quitté la Suisse entre le 3 avril et le 30 juin, la situation personnelle qu'il décrit ne lui permettant guère d'effectuer des voyages coûteux, sans but apparent. Au contraire, la proximité des dates où sa présence à Genève est certaine (2 avril, 30 juin, 11 août, 15 septembre 2012) permet de retenir au-delà de tout doute raisonnable qu'il a séjourné sans discontinuer durant toute cette période en Suisse, soit au-delà des 90 jours durant lesquels une présence sans permis de séjour est autorisée, de sorte qu'il a contrevenu à l’art. 115 al. 1 let. a LEtr.</w:t>
      </w:r>
    </w:p>
    <w:p>
      <w:r>
        <w:t>Le jugement querellé sera ainsi confirmé en ce qui concerne le verdict de culpabilité.</w:t>
      </w:r>
    </w:p>
    <w:p>
      <w:r>
        <w:rPr>
          <w:b/>
        </w:rPr>
        <w:t>E. 3</w:t>
      </w:r>
    </w:p>
    <w:p>
      <w:r>
        <w:t>3.1.1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3.1.2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3.1.3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w:t>
      </w:r>
    </w:p>
    <w:p>
      <w:r>
        <w:t>- 7/11 - P/12777/2012 d'une peine privative de liberté assortie d'un sursis partiel résulte alors de la gravité de la faute, lorsque cette peine se situe entre deux et trois ans. Dans ce cas, la notion de faute trouve pleinement sa place (ATF 134 IV 1 consid. 5.3.3). 3.1.4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3.1.5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3.2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w:t>
      </w:r>
    </w:p>
    <w:p>
      <w:r>
        <w:t>- 8/11 - P/12777/2012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3.3.1 Contrairement à ce que soutient l’appelant, sa faute est bien lourde, étant rappelé que la circonstance aggravante de l’art. 19 al. 2 let. a LStup est réalisée et qu’il y a concours d’infractions avec la violation de la LEtr. Sa situation, outre qu’elle n’était pas si précaire qu’il le prétend, compte tenu des sommes trouvées sur lui lors du contrôle du 11 août 2012, tient à sa décision de demeurer en Suisse alors même qu’il ne peut espérer y trouver un emploi, vu son statut. Son mobile était égoïste, quand bien même il n’aurait agi que contre une rémunération en nature, sous forme de nourriture, comme il semble le prétendre mais ne semble guère probable. Le rôle allégué de gardien de la drogue n’est pas un rôle subalterne, dès lors qu’il implique une grande responsabilité à l’égard du propriétaire. Quoi qu’il en dise, la durée de la période pénale n’est pas brève et celle-ci n’a pris fin qu’en raison de l’intervention de la police. L’appelant n’a pas hésité à commettre une nouvelle infraction à la LStup à peine quelques mois après avoir été condamné une première fois pour une infraction de même type et avoir bénéficié d’une mesure de sursis. Certes, cette première peine n’était pas lourde, mais la récidive est d’autant plus préoccupante en l’espèce qu’il y a une escalade dans la gravité. Aucun élément du dossier ne permet de penser qu’il y aurait chez l’appelant une véritable introspection. En particulier, dans le courrier produit avec le mémoire d’appel, il est uniquement question de regrets eu égard à la souffrance infligée à ses parents et d’une difficulté à supporter la détention, soit des considérations relativement égoïstes, mais non de prise de conscience du caractère répréhensible des actes commis. L’appelant n’évoque pas non plus un projet crédible qui permettrait de penser qu’il a la volonté et les moyens de changer de mode de vie. 3.3.2 Dans ces circonstances, force est d’admettre que le pronostic est défavorable, de sorte que la condition subjective à l’octroi du sursis partiel n’est pas réalisée. 3.3.3 En revanche, vu la relative jeunesse de l’appelant, il peut être espéré que le signal fort que constitue la condamnation à une peine privative de liberté de 30 mois</w:t>
      </w:r>
    </w:p>
    <w:p>
      <w:r>
        <w:t>- 9/11 - P/12777/2012 ferme sera de nature à le détourner de commettre d’autres infractions à l’avenir. Aussi, il peut encore être admis qu’il n’est pas nécessaire de révoquer de surcroît le précédent sursis accompagnant la peine pécuniaire de 80 jours-amende. L’appel sera par conséquent admis dans cette seule limite.</w:t>
      </w:r>
    </w:p>
    <w:p>
      <w:r>
        <w:rPr>
          <w:b/>
        </w:rPr>
        <w:t>E. 4</w:t>
      </w:r>
    </w:p>
    <w:p>
      <w:r>
        <w:t>L'appelant, qui succombe pour l’essentiel, supportera les frais de la procédure envers l'État, l’émolument étant cependant réduit à CHF 1'000.- (art. 428 CPP et art. 14 al. 1 let. e du règlement fixant le tarif des frais en matière pénale, du 22 décembre 2010 [RTFMP ; E 4 10.03]). * * * * *</w:t>
      </w:r>
    </w:p>
    <w:p>
      <w:r>
        <w:t>- 10/11 - P/12777/2012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