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AARP/363/2016 vom 7. Juni 2016</w:t>
      </w:r>
    </w:p>
    <w:p>
      <w:r>
        <w:t>GE Cour de justice, 2016-06-07, FR</w:t>
      </w:r>
    </w:p>
    <w:p>
      <w:r>
        <w:rPr>
          <w:b/>
        </w:rPr>
        <w:t xml:space="preserve">Quelle: </w:t>
      </w:r>
      <w:r>
        <w:t>https://mcp.opencaselaw.ch/entscheid/ge_gerichte_AARP_363_2016</w:t>
      </w:r>
    </w:p>
    <w:p>
      <w:r>
        <w:t>FR: GE_GERICHTE AARP/363/2016 du 7 juin 2016</w:t>
      </w:r>
    </w:p>
    <w:p>
      <w:r>
        <w:t>IT: GE_GERICHTE AARP/363/2016 del 7 giugno 2016</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Les parties qui attaquent seulement certaines parties du jugement sont tenues d'indiquer dans leur déclaration d'appel, de manière définitive, sur quelles parties porte l'appel, en l’occurrence (art. 399 al. 4 CPP) : la question de la culpabilité (let. a) et la quotité de la peine (let. b).</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w:t>
      </w:r>
    </w:p>
    <w:p>
      <w:r>
        <w:t>- 11/23 - P/8755/2015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(arrêt du Tribunal fédéral 5A_193/2016 du 10 juin 2016 consid. 2).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6B_1213/2015 du 19 mai 2016 consid. 2.1). 2.1.3. Aux termes de l'art. 19 al. 1 let. b et d LStup, est puni d'une peine privative de liberté de trois ans au plus ou d'une peine pécuniaire, celui qui, sans droit, entrepose, expédie, transporte, importe, exporte des stupéfiants ou les passe en transit, et celui qui, sans droit, possède, détient ou acquiert des stupéfiants ou s'en procure de toute autre manière.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2.2.1. En l’espèce, selon les observations de la police, l'appelant C______ s'est rendu à Annemasse le ______ mai 2015 pour chercher E______, qui transportait de la cocaïne, et l'a conduit à Genève, dans son appartement, en empruntant les transports publics. L'examen du téléphone portable de la mule a mis en évidence que celle-ci avait été en contact téléphonique avec l'appelant C______, dont elle avait reçu le numéro de</w:t>
      </w:r>
    </w:p>
    <w:p>
      <w:r>
        <w:t>- 12/23 - P/8755/2015 téléphone, soit le 1______, du fournisseur hollandais "F______". La veille et le jour de son arrestation, elle avait aussi reçu deux messages SMS mentionnant "C______", soit, phonétiquement, le prénom de l'appelant C______. Le fait que l'un de ces deux SMS émanait d'un autre raccordement utilisé par cet appelant (2______), constitue davantage un élément à charge qu'à décharge, même si le prénom a été mal orthographié. Ces éléments établissent que l'appelant C______ était en contact avec l'exportateur de la drogue aux Pays-Bas pour réceptionner la mule à Genève et donc impliqué dans le trafic de cocaïne. Ses dénégations à cet égard ne sont du reste guère crédibles, tant il a varié dans ses explications. Le fait que l'appelant C______ et la mule ne se connaissaient pas avant les faits est d'ailleurs un élément à charge supplémentaire, seul le trafic de stupéfiants les reliant. Ainsi, l'appelant C______ a participé à l'importation en Suisse de 390.7 grammes nets de cocaïne en réceptionnant la mule E______ à Annemasse et en la conduisant à Genève et s'est partant rendu coupable d'infraction grave à la LStup, vu la quantité impliquée. 2.2.2. L'appelant A______ ne conteste pas en appel le verdict de culpabilité en tant que tel mais uniquement le rôle qu'il a joué dans le trafic et, par voie de conséquence, la quotité de la peine fixée en première instance. Sa participation à un trafic de cocaïne portant sur 808 grammes de cette substance à un taux de pureté supérieur à 55% réalise l'infraction grave à la LStup, de sorte que le verdict de culpabilité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w:t>
      </w:r>
    </w:p>
    <w:p>
      <w:r>
        <w:t>- 13/23 - P/8755/2015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ss).</w:t>
      </w:r>
    </w:p>
    <w:p>
      <w:r>
        <w:t>3.1.2.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Le type de drogue et sa pureté doivent aussi être pris en considération. Si l'auteur sait que la drogue est particulièrement pure, sa culpabilité sera plus grande. En revanche, sa culpabilité sera moindre s'il sait que la drogue est diluée plus que normalement.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de drogue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6B_843/2014 du 7 avril 2015 consid. 1.1.1 et les références citées). 3.1.3. L'art. 47 CP confère un large pouvoir d'appréciation au juge. S'agissant de coauteurs jugés dans une seule procédure, l'appréciation subjective de la culpabilité et de la situation personnelle de chacun peut justifier des peines différentes pour des mêmes actes. Toutefois, la juste proportion des peines des coauteurs doit être prise en compte comme élément dans l'appréciation de la peine (ATF 135 IV 191 consid. 3.2).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Enfin, il n'y a pas d'inégalité de traitement</w:t>
      </w:r>
    </w:p>
    <w:p>
      <w:r>
        <w:t>- 14/23 - P/8755/2015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l'art. 47 CP la peine qui lui est soumise (arrêt du Tribunal fédéral 6B_794/2015 du 15 août 2016 consid. 1.1).</w:t>
      </w:r>
    </w:p>
    <w:p>
      <w:r>
        <w:t>3.2.1. En l’espèce, s'agissant de la quotité de la peine, la faute de l'appelant C______ est importante. Il était en contact avec le trafiquant hollandais, qui lui a fourni les coordonnées de la mule, et a réceptionné celle-ci au-delà de la frontière pour ensuite la guider jusqu'à son propre appartement.</w:t>
      </w:r>
    </w:p>
    <w:p>
      <w:r>
        <w:t>L'appelant C______ a très mal collaboré, en soutenant même que la police aurait fabriqué des preuves contre lui. Confronté à l'évidence, il a affirmé que sa rencontre avec la mule était purement fortuite et fourni des explications invraisemblables pour tenter de justifier les contacts téléphoniques. Les indications données sur les circonstances dans lesquelles il a été amené à conduire E______ à son domicile sont également peu crédibles.</w:t>
      </w:r>
    </w:p>
    <w:p>
      <w:r>
        <w:t>Aucun élément ne permet toutefois de déterminer sa réelle implication ou sa position au sein du trafic et de conclure qu’il exerçait une fonction élevée ou qu’il devait écouler lui-même la drogue. Partant, il convient de retenir que son rôle s'est limité à l’accueil de la mule, laquelle devait ensuite expulser la marchandise à un autre endroit, les déclarations de E______ selon lesquelles il avait l'intention de retourner aux Pays-Bas n'étant pas crédibles, ce d'autant qu'il s'est rendu au bord du lac après avoir quitté l'appelant C______ et non pas dans une gare routière ou ferroviaire.</w:t>
      </w:r>
    </w:p>
    <w:p>
      <w:r>
        <w:t>N'étant pas lui-même toxicomane, l'appelant C______ a agi par pur appât du gain.</w:t>
      </w:r>
    </w:p>
    <w:p>
      <w:r>
        <w:t>Sa faute est à tout le moins équivalente à celle de la mule, qui a été condamnée à une peine privative de liberté de 30 mois pour infraction grave à la LStup. L'antécédent judiciaire de l'appelant C______ est très spécifique et grave, alors que la mule avait un antécédent comme mineur ainsi que deux condamnations à des peines pécuniaires comme majeur (cf. jugement entrepris, p. 10). E______ a un peu mieux collaboré et fait preuve d'une ébauche de prise de conscience selon les premiers juges, ce qui n'est pas le cas de l'appelant C______. La mule a aussi tenu le rôle le plus exposé, notamment pour sa santé.</w:t>
      </w:r>
    </w:p>
    <w:p>
      <w:r>
        <w:t>- 15/23 - P/8755/2015</w:t>
      </w:r>
    </w:p>
    <w:p>
      <w:r>
        <w:t>L'infraction grave à la LStup entre en outre en concours, pour l'appelant C______, avec l'infraction de séjour illégal, ce qui justifie d'augmenter la peine dans une juste proportion (art. 49 CP).</w:t>
      </w:r>
    </w:p>
    <w:p>
      <w:r>
        <w:t>Pour tous ces motifs, la peine privative de liberté de 36 mois prononcée en première instance est adéquate, car adaptée à sa culpabilité, et sera confirmée. L'appelant C______ ne réunit pas les conditions permettant d'obtenir le sursis partiel, ce qu'il ne soutient du reste pas, de sorte que seule une peine privative de liberté ferme entre en considération.</w:t>
      </w:r>
    </w:p>
    <w:p>
      <w:r>
        <w:t>3.2.2. En l'espèce, rien n'établit que l'appelant A______ a lui-même ingéré, transporté et expulsé la cocaïne découverte le ______ juillet 2015, si ce n'est ses propres déclarations, qui ne sont pas très crédibles. Pour minimiser son implication, cet appelant tente en effet de se faire passer pour une simple mule, laquelle représente généralement l'échelon le plus bas dans un trafic de stupéfiants et donc celui moins sévèrement puni, en raison de son rôle très subalterne, mais exposé, et de son absence d'autonomie.</w:t>
      </w:r>
    </w:p>
    <w:p>
      <w:r>
        <w:t>La procédure a en revanche mis en évidence que l'appelant A______ disposait de deux logements à Genève, l'un dans lequel il habitait – il dormait dans l'appartement de G______ lorsque la police est intervenue – l'autre dans lequel la cocaïne était stockée. Il avait aussi plusieurs raccordements téléphoniques. Il était ainsi en mesure de séparer ses activités quotidiennes de ses activités illicites.</w:t>
      </w:r>
    </w:p>
    <w:p>
      <w:r>
        <w:t>Sa présence à Genève, attestée par les relevés d'envois d'argent, s'inscrivait dans la durée, l'usurpation de ses papiers d'identité étant une dénégation de circonstance.</w:t>
      </w:r>
    </w:p>
    <w:p>
      <w:r>
        <w:t>A teneur du dossier, il était le seul à avoir accès au lieu de stockage de la cocaïne, en tant que détenteur de la clé de la chambre, qui était fermée lorsque la police est intervenue.</w:t>
      </w:r>
    </w:p>
    <w:p>
      <w:r>
        <w:t>Cet appelant disposait ainsi d'une logistique, d'une autonomie et d'une maîtrise de la marchandise qui le placent à un échelon plus élevé que celui de la simple mule, même s'il n'est pas possible de déterminer la position exacte qu'il occupait au sein de son réseau.</w:t>
      </w:r>
    </w:p>
    <w:p>
      <w:r>
        <w:t>N'étant pas lui-même toxicomane, l'appelant a agi par pur appât du gain. La quantité trafiquée est importante – supérieure à celle transportée par la mule E______ – et le taux de pureté de la cocaïne saisie élevé. L'appelant A______ a un antécédent récent et spécifique.</w:t>
      </w:r>
    </w:p>
    <w:p>
      <w:r>
        <w:t>- 16/23 - P/8755/2015</w:t>
      </w:r>
    </w:p>
    <w:p>
      <w:r>
        <w:t>Sa collaboration à l'enquête et sa prise de conscience sont mauvaises, tant il a tenté de minimiser son implication.</w:t>
      </w:r>
    </w:p>
    <w:p>
      <w:r>
        <w:t>Pour ces motifs, la peine de 3 ans et 6 mois prononcée à son encontre par les premiers juges est en adéquation avec sa faute et sera, elle aussi, confirmée.</w:t>
      </w:r>
    </w:p>
    <w:p>
      <w:r>
        <w:rPr>
          <w:b/>
        </w:rPr>
        <w:t>E. 4</w:t>
      </w:r>
    </w:p>
    <w:p>
      <w:r>
        <w:t>Vu l'issue de la procédure, les prétentions en indemnisation formulées par l'appelant C______ sont infondées et seront donc rejetées (art. 429 CPP).</w:t>
      </w:r>
    </w:p>
    <w:p>
      <w:r>
        <w:rPr>
          <w:b/>
        </w:rPr>
        <w:t>E. 5</w:t>
      </w:r>
    </w:p>
    <w:p>
      <w:r>
        <w:t>Le maintien des appelants en détention pour des motifs de sûreté a d’ores et déjà été prononcé par décisions séparées.</w:t>
      </w:r>
    </w:p>
    <w:p>
      <w:r>
        <w:rPr>
          <w:b/>
        </w:rPr>
        <w:t>E. 6</w:t>
      </w:r>
    </w:p>
    <w:p>
      <w:r>
        <w:t>Les appelants, qui succombent, supporteront chacun la moitié des frais de la procédure envers l'Etat (art. 428 CPP), qui comprennent, dans leur totalité, un émolument de 2'500.- (art. 14 al. 1 let. e du Règlement fixant le tarif des frais en matière pénale du 22 décembre 2010 [RTFMP ; E 4 10.03]).</w:t>
      </w:r>
    </w:p>
    <w:p>
      <w:r>
        <w:rPr>
          <w:b/>
        </w:rPr>
        <w:t>E. 7.1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w:t>
      </w:r>
    </w:p>
    <w:p>
      <w:r>
        <w:t>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w:t>
      </w:r>
    </w:p>
    <w:p>
      <w:r>
        <w:t>- 17/23 - P/8755/2015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récente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(ATF 118 Ia 133</w:t>
      </w:r>
    </w:p>
    <w:p>
      <w:r>
        <w:t>- 18/23 - P/8755/2015 consid. 2d p. 136 ; ATF 109 Ia 107 consid. 3b p. 111 ; arrêt 5P.462/2002 du 30 janvier 2003 consid. 2.3 ; voir aussi décision du Tribunal pénal fédéral BB.2015.85 du 12 avril 2016 consid. 3.2.2).</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Selon l'art. 17 RAJ, l'état de frais doit détailler, par rubrique, les activités donnant lieu à indemnisation, avec indication du temps consacré, et les justificatifs doivent être joints.</w:t>
      </w:r>
    </w:p>
    <w:p>
      <w:r>
        <w:t>7.2.4.1.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7.2.4.2.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w:t>
      </w:r>
    </w:p>
    <w:p>
      <w:r>
        <w:t>- 19/23 - P/8755/2015 indemnisation ou à indemnisation supplémentaire (AARP/204/2016 du 9 mai 2016 consid. 7.3).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 en particulier s’agissant de la lecture du jugement de première instance : AARP/142/2016 du 14 avril 2016 consid. 5.4.1 ; AARP/281/2015 du 25 juin 2015 ; AARP/272/2015 du 1er juin 2015). 7.2.5. En principe, la consultation du dossier est indemnisée, sous réserve du caractère excessivement long ou répétitif de cette activité, en particulier si le dossier n'a pas ou peu évolué pendant la procédure d'appel (AARP/181/2016 du 9 mai 2016 consid. 6.3 et 6.4 ; AARP/149/2016 du 20 avril 2016 consid. 5.4). 7.2.6. Le travail consistant en des recherches juridiques, sauf questions particulièrement pointues, n'est pas indemnisé, l'Etat ne devant pas assumer la charge financière de la formation de l'avocat stagiaire, laquelle incombe à son maître de stage (AARP/147/2016 du 17 mars 2016 consid. 7.3 ; AARP/302/2013 du 14 juin 2013 ; AARP/267/2013 du 7 juin 2013). 7.2.7.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de 1h30 pour les avocats et d'une heure pour les avocats stagiaires, ce qui comprend le temps de déplacement. 7.2.8. Il faut tenir compte, pour apprécier le temps adéquat pour la préparation de l'audience de jugement ou d'appel, des circonstances du cas, notamment du temps précédemment passé sur le dossier (AARP/467/2015 du 6 novembre 2015 consid. 5.1.3 et 5.2.1 ; AARP/243/2013 du 28 mai 2013). 7.2.9. Lorsque tant le maître de stage que le stagiaire assistent à l'audience, seule l'activité de l'un d'eux, soit celui étant concrètement intervenu, sera indemnisée, au taux réservé à son statut (AARP/504/2015 du 17 novembre 2015 consid. 7.2 ; AARP/262/2015 du 29 mai 2015 consid. 4.2.1 ; AARP/186/2015 du 2 avril 2015 consid. 10.2 ; AARP/146/2013 du 4 avril 2013).</w:t>
      </w:r>
    </w:p>
    <w:p>
      <w:r>
        <w:t>- 20/23 - P/8755/2015 7.2.10. L'avocat d'office a droit au remboursement intégral de ses débours (arrêt du Tribunal fédéral 6B_810/2010 du 25 mai 2011 consid. 2 et les références citées ; décision du Tribunal pénal fédéral BB.2015.85 du 12 avril 2016 consid. 3.2.1). Ceux de l'étude sont inclus dans les tarifs horaires prévus par l'art. 16 al. 1 RAJ (décision de la Cour des plaintes du Tribunal pénal fédéral BB.2013.127 du 4 décembre 2013 consid. 3/4.2-4.4).</w:t>
      </w:r>
    </w:p>
    <w:p>
      <w:r>
        <w:t>7.3.1. En l’occurrence, l’état de frais produit par le défenseur d’office de A______ est globalement adéquat, sauf pour le poste "Procédure", qui est excessif et sera ramené à 6h00. En effet, le dossier était nécessairement bien connu par l’avocat, nommé à un stade embryonnaire de la procédure. En revanche, il y a lieu d’ajouter la durée de l’audience, laquelle, arrêtée à 3h00, tient compte du temps de déplacement. Aussi l'indemnité requise par le défenseur d'office de L'appelant A______ sera admise à concurrence de CHF 3'051.20, ce montant correspondant à 12h00 d'activité comme chef d'étude, y compris la durée de l'audience, au tarif de CHF 200.-/heure, plus la majoration forfaitaire de 10% pour tenir compte de l'activité antérieure en première instance (qui dépasse 40h00), l'équivalent de la TVA au taux de 8% (CHF 211.20) et le remboursement des frais d’interprète en CHF 200.-.</w:t>
      </w:r>
    </w:p>
    <w:p>
      <w:r>
        <w:t>7.3.2. L’état de frais produit par le défenseur d’office de C______ est excessif, eu égard au volume du dossier et à la bonne connaissance que l’intéressé en avait nécessairement à ce stade de la procédure. Il ne tient en outre pas compte des principes évoqués ci-dessus, nombre de prestations facturées étant incluses dans la majoration forfaitaire pour les activités diverses (rédaction de l’annonce d’appel et de la déclaration d’appel, simple lecture du jugement entrepris, rédaction de conclusions en indemnisation très sommairement motivées et recherches juridiques). Enfin, l’on ne voit pas la nécessité d’indemniser le temps consacré à la préparation de l’audience d’appel par le chef d’étude et l’avocat stagiaire, de sorte que la CPAR ne retiendra que l’activité déployée à cet effet par le premier. Cela étant, il convient ici aussi d’ajouter au relevé d’activité la durée de l’audience, taxée aussi au tarif de chef d’étude.</w:t>
      </w:r>
    </w:p>
    <w:p>
      <w:r>
        <w:t>Aussi l'indemnité requise par le défenseur d'office de l'appelant C______ sera admise à concurrence de CHF 2'488.90, ce montant, arrondi, correspondant à 9h30 d'activité comme chef d'étude, au tarif horaire de CHF 200.-, y compris la durée de l’audience, et 3h00 à celui de stagiaire de CHF 65.-, plus la majoration forfaitaire de 10% pour tenir compte de l'activité antérieure en première instance (supérieure à 30h00) et l'équivalent de la TVA au taux de 8% par CHF 184.36. * * * * *</w:t>
      </w:r>
    </w:p>
    <w:p>
      <w:r>
        <w:t>- 21/23 - P/8755/2015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