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AARP/362/2020 vom 3. November 2020</w:t>
      </w:r>
    </w:p>
    <w:p>
      <w:r>
        <w:t>GE Cour de justice, 2020-11-03, FR</w:t>
      </w:r>
    </w:p>
    <w:p>
      <w:r>
        <w:rPr>
          <w:b/>
        </w:rPr>
        <w:t xml:space="preserve">Quelle: </w:t>
      </w:r>
      <w:r>
        <w:t>https://mcp.opencaselaw.ch/entscheid/ge_gerichte_AARP_362_2020</w:t>
      </w:r>
    </w:p>
    <w:p>
      <w:r>
        <w:t>FR: GE_GERICHTE AARP/362/2020 du 3 novembre 2020</w:t>
      </w:r>
    </w:p>
    <w:p>
      <w:r>
        <w:t>IT: GE_GERICHTE AARP/362/2020 del 3 novembre 2020</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ATF 144 IV 345 consid. 2.2.3.2). En tant que règle sur le fardeau de la preuve, la présomption d'innocence signifie, au stade du jugement, que ce fardeau incombe à l'accusation et que le doute doit profiter au prévenu.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en tant que règle sur le fardeau de la preuve (ATF 144 IV 345 consid. 2.2.3).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w:t>
      </w:r>
    </w:p>
    <w:p>
      <w:r>
        <w:t>- 8/17 - P/11247/2019 toujours possibles, une certitude absolue ne pouvant être exigée. Il doit s'agir de doutes sérieux et irréductibles, c'est-à-dire de doutes qui s'imposent à l'esprit en fonction de la situation objective (ATF 144 IV 345 consid. 2.2.1).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2.1.2. Aux termes de l'art. 19 ch. 1 al. 1 LStup, est puni d'une peine privative de liberté de trois ans au plus ou d'une peine pécuniaire, celui qui, sans droit, possède, détient ou acquiert des stupéfiants (let. d). Selon l'art. 19 al. 2 let. a LStup, le cas est grave lorsque l'auteur sait ou ne peut ignorer que l'infraction peut directement ou indirectement mettre en danger la santé de nombreuses personnes. S'agissant de la quantité pour la cocaïne, la condition est objectivement remplie dès que l'infraction porte sur une quantité contenant 18 grammes de substance pure (ATF 138 IV 100 consid. 3.2 p. 103 ; 109 IV 143 consid. 3b p. 145 ; arrêt du Tribunal fédéral 6B_1230/2015 du 22 avril 2016 consid. 4.4.2. Si l'auteur commet plusieurs actes distincts, les quantités qui en sont l'objet doivent être additionnées (ATF 112 IV 109 consid. 2b p. 113). Dans ce cadre, il sied de déterminer la quantité de drogue pure sur laquelle a porté l'infraction, qui est seule décisive (ATF 121 IV 193 consid. 2b/aa p. 196).</w:t>
      </w:r>
    </w:p>
    <w:p>
      <w:r>
        <w:rPr>
          <w:b/>
        </w:rPr>
        <w:t>E. 2.2</w:t>
      </w:r>
    </w:p>
    <w:p>
      <w:r>
        <w:t>En l'espèce, une partie de la drogue a été retrouvée dans une chaussette placée dans une valise où se trouvait également le passeport de l'appelant. Le reste se trouvait dans un sac à dos, alors que I______ a indiqué avoir vu l'intéressé en porter un lors d'un voyage. L'appelant semble de plus avoir pris des précautions en interdisant l'accès de sa chambre, qu'il fermait à clé, au précité, lui demandant même de débarrasser ses affaires qui y étaient stockées, et surveillant toute intrusion. Ces éléments soutiennent fortement l’hypothèse de l’accusation, selon laquelle la drogue lui appartenait. S’y ajoute que l'appelant a indiqué s’être trouvé à M______ [France] du 21 au 25 mai 2019 alors que K______, qui n’avait aucun intérêt à mentir sur ce point, a déclaré avoir vu l'intéressé sortir de sa chambre la veille de l'intervention de la police, soit le 23 mai 2019. Cette déclaration accrédite encore le fait que l’appelant en était l’unique occupant, étant relevé que ce témoin était arrivé</w:t>
      </w:r>
    </w:p>
    <w:p>
      <w:r>
        <w:t>- 9/17 - P/11247/2019 dans l’appartement le 23 mai 2019 et ne peut donc pas avoir reconnu l’appelant pour l’avoir croisé antérieurement. Enfin, les explications de l’appelant se bornant à indiquer que I______ détenait un double des clés de la chambre qu'il louait et qu'il avait, durant la durée de son voyage, laissé sa propre clé à un dénommé L______ s'il souhaitait loger dans sa chambre ne reposent sur aucun élément au dossier, étant précisé qu'aucun des autres habitants de l'appartement n'a indiqué avoir vu une autre personne dans la chambre de l'intéressé. Elles ne permettent donc pas de contrecarrer la force probante des éléments à charge susmentionnés. La nouvelle version de l'appelant en audience d'appel, selon laquelle la drogue appartenait à L______, n'est pas plus crédible. Outre qu’on ne comprend pas pourquoi il n’aurait pas fourni cette explication immédiatement, il n'a jamais évoqué avoir téléphoné à L______ à son retour à Genève et n'est pas en mesure de donner un élément concret qui permettrait d'identifier celui-ci. Enfin, le fait que l'appelant, qui a régulièrement voyagé par avion entre O______ [Portugal] et Genève avant la perquisition, n'a plus atterri ni décollé de Genève après celle-ci, accrédite encore la thèse de l’accusation en ce que cela démontre qu’il voulait éviter les contrôles de sécurité à l'aéroport. Par conséquent, la CPAR considère qu'il existe bien un faisceau d'indices suffisants lui permettant d'avoir l'intime conviction que l'appelant était le détenteur de la drogue séquestrée dans la chambre qu'il louait. C'est dès lors à juste titre que le TCO l'a reconnu coupable d'infraction à l'art. 19 al. 1 let. d LStup. Compte tenu de la quantité de drogue totale détenue par l'appelant, bien au-dessus du seuil de gravité fixé par la loi, et du taux de pureté élevé, l'aggravante de l'art. 19 al. 2 let. a LStup est réalisée.</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w:t>
      </w:r>
    </w:p>
    <w:p>
      <w:r>
        <w:t>- 10/17 - P/11247/2019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w:t>
      </w:r>
    </w:p>
    <w:p>
      <w:r>
        <w:rPr>
          <w:b/>
        </w:rPr>
        <w:t>E. 3.2</w:t>
      </w:r>
    </w:p>
    <w:p>
      <w:r>
        <w:t>La faute de l’appelant est lourde. Il a pris part à un trafic de stupéfiants, à tout le moins comme intermédiaire au vu des quantités en cause. Le trafic a porté sur des quantités de cocaïne importantes, plusieurs centaines de grammes dépassant largement le seuil de l'aggravante prévue à l'art. 19 al. 2 LStup, d'un taux de pureté très élevé, jusqu'à plus de 70%, sur de brèves périodes pénales. Seule son arrestation a mis fin à son activité illicite, ce qui relativise la durée de celles-ci. En janvier 2020, le trafic était international. Il a ainsi mis en danger la santé de nombreuse personnes. Son mobile relève de l'égoïsme et de l'appât du gain rapide et facile. Sa situation personnelle ne saurait justifier ses actes. Au contraire, lorsqu’il a commis les faits qui lui sont reprochés il disposait de revenus au Portugal, dont il a la nationalité, certes modestes, mais lui évitant d’être dans le besoin. Sa collaboration ne peut être qualifiée de bonne. Il n’a admis les faits du 8 janvier 2020 qu'en partie, persistant à dire qu'il pensait transporter de l'argent et non de la drogue. Il a toujours nié ceux du 24 mai 2019, allant jusqu'à donner une nouvelle version fantaisiste en audience d'appel. Il n'a, de surcroît, manifesté aucun repentir au sujet de ses agissements, les quelques regrets exprimés apparaissant être de pure circonstance. Une prise de conscience ne semble ainsi même pas amorcée. La Cour estime dès lors que seule une peine privative de liberté ferme et d'une relative importance est susceptible de lui faire prendre conscience de la gravité des actes qu'il a commis et de le dissuader de commettre de nouvelles infractions. Il y a concours entre deux infractions. L'infraction à la LStup la plus grave est celle du 24 mai 2019 pour laquelle la CPAR retiendra une peine privative de liberté de 30 mois, compte tenu de la quantité de drogue en cause. Cette peine devrait être aggravée de 24 mois (peine théorique : 30 mois) pour tenir compte de la seconde infraction à la LStup, qui, si elle porte sur une quantité moindre, démontre toutefois une organisation plus professionnelle et relève d’un trafic international, pour une peine d’ensemble de quatre ans et six mois.</w:t>
      </w:r>
    </w:p>
    <w:p>
      <w:r>
        <w:t>- 13/17 - P/11247/2019 La Cour ne peut toutefois aggraver la peine prononcée en première instance (art. 391 al. 2 CPP), qui doit ainsi être confirmée. Au vu de la peine prononcée, aucun sursis au sens des art. 42 et 43 CP n'est envisageable. Le jugement entrepris sera par conséquent confirmé sur ce point et l'appel rejeté. 4. 4.1. L'expulsion de l'appelant, qui ne la remet pas en cause, sera confirmée, dans la mesure où elle respecte les critères légaux de l'art. 66a CP. 4.2. Il n'y a pas lieu d'étendre la mesure d'expulsion prononcée à l'ensemble de l'espace Schengen, le prévenu étant ressortissant portugais. 5. L'appelant, qui succombe, supportera les frais de la procédure envers l'Etat, comprenant en appel un émolument de CHF 1'500.- (art. 428 CPP et art. 14 al. 1 let. e du Règlement fixant le tarif des frais en matière pénale). Il n'y a pas lieu de revoir les frais de première instance dès lors que la culpabilité de l’appelant est confirmée (art. 426 al. 1 et 428 al. 3 CPP). Il n’y a pas matière à revoir leur répartition entre les prévenus, l’appelant étant reconnu coupable de deux chefs d’accusation et sa coaccusée d’un seul.</w:t>
      </w:r>
    </w:p>
    <w:p>
      <w:r>
        <w:rPr>
          <w:b/>
        </w:rPr>
        <w:t>E. 6</w:t>
      </w:r>
    </w:p>
    <w:p>
      <w:r>
        <w:t>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arrêts du Tribunal fédéral 6B_1428/2016 du 3 octobre 2017 consid. 4.1 ; 6B_326/2016 du 22 mars 2017 consid. 4.1). 3.1.2.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à partir de laquelle le cas doit être considéré comme grave au sens de l'art. 19 al. 2 let. a LStup (ATF 138 IV 100 consid. 3.2 ; ATF 121 IV 193 consid. 2b/aa).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Enfin, le nombre d'opérations constitue un indice pour mesurer l'intensité du comportement délictueux. Celui qui écoule une fois un kilo d'héroïne sera en principe moins sévèrement puni que celui qui vend cent grammes à dix reprises (arrêt du Tribunal fédéral 6B_189/2017 du 7 décembre 2017 consid. 5.1).</w:t>
      </w:r>
    </w:p>
    <w:p>
      <w:r>
        <w:t>- 11/17 - P/11247/2019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6B_1192/2018 du 23 janvier 2019 consid. 1.1 et références citées).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ATF 118 IV 342 consid. 2d p. 349). 3.1.3.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en tenant là aussi compte de toutes les circonstances y relatives (ATF 144 IV 217 consid. 3.5 ; 144 IV 313 consid. 1.1.2). Le juge a l'obligation d'aggraver la peine en cas de concours d'infraction (ATF 103 IV 225 ; arrêt du Tribunal fédéral 6B_1216/2017 du 11 juin 2018 consid. 1.1.1). 3.1.4. Le juge suspend en règle générale l'exécution d'une peine pécuniaire ou d'une peine privative de liberté de deux ans au plus lorsqu'une peine ferme ne paraît pas nécessaire pour détourner l'auteur d'autres crimes ou délits (art. 42 al. 1 CP).</w:t>
      </w:r>
    </w:p>
    <w:p>
      <w:r>
        <w:t>- 12/17 - P/11247/2019 Il peut aussi suspendre partiellement l'exécution d'une peine privative de liberté d'un an au moins et de trois ans au plus afin de tenir compte de façon appropriée de la faute de l'auteur (art. 43 al. 1 CP). Le défaut de prise de conscience de la faute peut justifier un pronostic défavorable, car seul celui qui se repent de son acte mérite la confiance que l'on doit pouvoir accorder au condamné bénéficiant du sursis (arrêt du Tribunal fédéral 6B_276/2018 consid. 3.1).</w:t>
      </w:r>
    </w:p>
    <w:p>
      <w:r>
        <w:rPr>
          <w:b/>
        </w:rPr>
        <w:t>E. 6.1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w:t>
      </w:r>
    </w:p>
    <w:p>
      <w:r>
        <w:rPr>
          <w:b/>
        </w:rPr>
        <w:t>E. 6.2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7.3. En l'occurrence, il ne sera pas tenu compte de l'heure de lecture du jugement du TCO, la prise de connaissance des décisions étant comprise dans le forfait.</w:t>
      </w:r>
    </w:p>
    <w:p>
      <w:r>
        <w:t>- 14/17 - P/11247/2019</w:t>
      </w:r>
    </w:p>
    <w:p>
      <w:r>
        <w:t>En conclusion, la rémunération de Me C______ sera arrêtée à CHF 2'923.60 correspondant à 11 heures et 55 minutes d'activité au tarif de CHF 200.-/heure plus la majoration forfaitaire de 10% (CHF 238.35), l'équivalent de la TVA au taux de 7.7% (CHF 201.90), et CHF 100.- de débours pour la vacation à l'audience.</w:t>
      </w:r>
    </w:p>
    <w:p>
      <w:r>
        <w:t>7.4. Considéré globalement, l'état de frais produit par Me E______, défenseur d'office de l’intimée, satisfait les exigences légales et jurisprudentielles régissant l'assistance judiciaire gratuite en matière pénale. Sa rémunération sera donc arrêtée à CHF 193.85. * * * * *</w:t>
      </w:r>
    </w:p>
    <w:p>
      <w:r>
        <w:t>- 15/17 - P/11247/2019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