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AARP/360/2019 vom 16. Oktober 2019</w:t>
      </w:r>
    </w:p>
    <w:p>
      <w:r>
        <w:t>GE Cour de justice, 2019-10-16, FR</w:t>
      </w:r>
    </w:p>
    <w:p>
      <w:r>
        <w:rPr>
          <w:b/>
        </w:rPr>
        <w:t xml:space="preserve">Quelle: </w:t>
      </w:r>
      <w:r>
        <w:t>https://mcp.opencaselaw.ch/entscheid/ge_gerichte_AARP_360_2019</w:t>
      </w:r>
    </w:p>
    <w:p>
      <w:r>
        <w:t>FR: GE_GERICHTE AARP/360/2019 du 16 octobre 2019</w:t>
      </w:r>
    </w:p>
    <w:p>
      <w:r>
        <w:t>IT: GE_GERICHTE AARP/360/2019 del 16 ottobre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Les infractions aux art. 19 al. 1 LStup, 119 al. 1 LEI et 115 al. 1 LEI retenues contre le prévenu sont punissables d'une peine privative de liberté de trois ans au plus, respectivement d'une année au plus.</w:t>
      </w:r>
    </w:p>
    <w:p>
      <w:r>
        <w:t>- 7/15 - P/127/2018</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2.2</w:t>
      </w:r>
    </w:p>
    <w:p>
      <w:r>
        <w:t>Sauf disposition contraire, la peine pécuniaire est de trois jours-amende au moins et ne peut excéder 180 jours-amende (art. 34 al. 1 CP).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Le juge suspend en règle générale l'exécution d'une peine pécuniaire ou d'une peine privative de liberté de deux ans au plus lorsqu'une peine ferme ne paraît pas nécessaire pour détourner l'auteur d'autres crimes ou délits (art. 42 al. 1 CP). 2.3.1.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- 8/15 - P/127/2018 2.3.2.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Pour déterminer si le tribunal doit prononcer une peine complémentaire, il convient de se référer à la date du jugement antérieur, indépendamment de la date d'un éventuel arrêt sur appel ultérieur (ATF 138 IV 113 consid. 3.4.1 et 3.4.2 ; ATF 129 IV 113 consid. 1.1 et 1.2).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6B_884/2018 du 5 février 2019 et la jurisprudence citée). 2.3.3. Le juge amené à sanctionner des infractions commises antérieurement et postérieurement à un jugement précédent doit procéder en deux temps. Tout d'abord, il doit s'attacher aux infractions commises avant ledit jugement. Il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(cf. ATF 142 IV 265 consid. 2.4.4-2.4.6 p. 271 ss).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(cf. ATF 142 IV 265 consid. 2.3.2 p. 267 s. et les références citées ; arrêt du Tribunal fédéral 6B_1037/2018 du</w:t>
      </w:r>
    </w:p>
    <w:p>
      <w:r>
        <w:rPr>
          <w:b/>
        </w:rPr>
        <w:t>E. 2.4</w:t>
      </w:r>
    </w:p>
    <w:p>
      <w:r>
        <w:t>À teneur de l'art. 48 let. a ch. 2 CP, le juge atténue la peine notamment si l'auteur a agi dans une détresse profonde. La détresse profonde est réalisée lorsque l'auteur est poussé à transgresser la loi pénale par une situation proche de l'état de nécessité, c'est-à-dire que, sous la pression d'une détresse particulièrement grave, de nature matérielle ou morale, il croit ne pouvoir trouver une autre issue que dans la commission de l'infraction (ATF 107 IV 94 consid. 4a).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(ATF 110 IV 9 consid. 2 p. 10).</w:t>
      </w:r>
    </w:p>
    <w:p>
      <w:r>
        <w:rPr>
          <w:b/>
        </w:rPr>
        <w:t>E. 2.5</w:t>
      </w:r>
    </w:p>
    <w:p>
      <w:r>
        <w:t>En l'espèce, seule une peine privative de liberté entre en ligne de compte, l'appelant étant sans ressources et dépourvu de toute perspective d'obtenir un revenu régulier. En outre, ses précédentes condamnations à des peines pécuniaires pour les mêmes infractions ne l'ont pas dissuadé à récidiver. Les premiers agissements de l'appelant poursuivis dans la présente procédure, constitutifs d'infractions à l'art. 115 al. 1 let. a et b LEI, remontent au 3 janvier 2018. Ils sont donc antérieurs à la condamnation du 9 janvier 2018 prononcée par le MP valaisan pour des actes commis le 7 décembre 2017, à l'occasion de laquelle l'appelant s'est vu infliger une peine privative de liberté de 20 jours pour entrée illégale. Conformément à la jurisprudence, il convient de fixer tout d'abord une peine indépendante sanctionnant les infractions commises antérieurement au précédent jugement selon l’art. 49 al. 2 CP, étant précisé que les infractions sont toutes deux punies de peines privatives de liberté. Une peine privative de liberté de 40 jours aurait correctement sanctionné les deux infractions commises en concours et en récidive par l'appelant le 9 décembre 2017 et le 3 janvier 2018 vu son comportement délictueux répété et son mépris des décisions de justice le frappant. Constituée de la différence entre cette peine d'ensemble (40 jours) et la peine de base résultant de l'ordonnance pénale du 9 janvier 2018 (20 jours), la peine privative de liberté complémentaire devant être fixée dans le cadre de la présente procédure sera arrêtée à 20 jours. 2.6.1. Parmi les infractions commises postérieurement au jugement précédent, le délit au sens de l'art. 19 al. 1 let. c et d LStup est l'infraction la plus grave. La peine de base sera dès lors fixée pour cette infraction et aggravée pour tenir compte du concours avec les infractions aux art. 115 al. 1 let. a et b LEI et 119 al. 1 LEI conformément à l'art. 49 al. 1 CP. La faute en lien avec la vente de 1.1 g. de cocaïne ainsi que la détention d'un parachute de 10.3 g. destinés à la vente est importante. Le prévenu a mis sur le</w:t>
      </w:r>
    </w:p>
    <w:p>
      <w:r>
        <w:t>- 10/15 - P/127/2018 marché de la drogue dure, par pur appât du gain et sans égard pour la santé de l'acheteur. Outre le fait qu’il a déjà été condamné pour délit à la LStup, sa collaboration n'a pas été bonne, dans la mesure où il a fourni des informations partielles et contesté avoir été en possession d'un parachute de cocaïne. Sa prise de conscience est imparfaite, même s'il a présenté des excuses. Aucune des circonstances atténuantes de l'art. 48 CP n'est réalisée, le dossier ne contenant aucun indice concret permettant de retenir l'existence d'une menace grave ou d'un état de nécessité excusable en lien avec l'infraction à la LStup. Pour précaire qu'elle soit, la condition de l'appelant ne justifie en effet pas son comportement, ce d'autant qu'il existe des organismes qui viennent en aide aux personnes dans sa situation administrative et préviennent du dénuement tant en Suisse qu'en France ou en Italie. Sa précarité résulte également de son obstination à demeurer sur le territoire suisse, alors que sa demande d'asile a été rejetée depuis 2017 et qu'il aurait pu aller en France où il prétend avoir déjà travaillé et vouloir désormais régulariser sa situation et s'établir. Au vu des éléments qui précèdent, la vente de cocaïne et la détention d'une quantité non négligeable destinée à la vente justifient le prononcé d'une peine privative de liberté hypothétique de 150 jours. 2.6.2. S'agissant des cinq infractions à la LEI, la faute de l'intimé est loin d'être légère. Il est revenu en Suisse à de nombreuses reprises après en avoir été expulsé, démontrant l'intensité de sa volonté délictuelle. L'appelant a fait fi de la législation en vigueur, avec laquelle il se savait en infraction au vu de ses multiples condamnations passées. Il avait également connaissance des interdictions d'entrée et de séjour, ses déclarations étant incompatibles avec les notifications qu'il avait lui-même contresignées, a fortiori dans la mesure où il était assisté d'un avocat, rencontré à différentes reprises, qui était en mesure de dissiper tout malentendu à leur propos le cas échéant. Il a des antécédents récents et spécifiques, ayant été condamné à plusieurs reprises pour séjour et entrée illégaux en Suisse, et n'a effectué aucune démarche visant à obtenir une autorisation en dehors d'une demande d'asile rejetée en 2017. Sa collaboration a été mauvaise, de même que sa prise de conscience, ce dernier persistant à nier être en situation d'illégalité et ne montrant aucun amendement crédible. Pour tenir compte à la fois de l'effet aggravant du concours et des éléments qui précèdent, la peine privative de liberté de l'intimé devrait être portée à 180 jours au minimum, sous déduction de huit jours de détention avant jugement.</w:t>
      </w:r>
    </w:p>
    <w:p>
      <w:r>
        <w:t>- 11/15 - P/127/2018 Vu la peine complémentaire de 20 jours qui serait théoriquement encore à cumuler, une peine d'ensemble de six mois ne peut pas être considérée comme excessive et le jugement entrepris sera confirmé. L'intimé ayant récidivé en dépit des trois précédentes condamnations pour des faits similaires sans montrer de disposition à modifier son comportement, le pronostic à formuler est défavorable, en conséquence de quoi le nature ferme de la peine sera confirmée. 3. L'infraction à l'art. 286 CP retenue contre le prévenu est passible d'une peine pécuniaire de 30 jours-amende au plus, alors que l'infraction à l'art. 19a ch. 1 LStup est punissable d'une amende.</w:t>
      </w:r>
    </w:p>
    <w:p>
      <w:r>
        <w:t>L'appelant ne critique ni la peine pécuniaire ni l'amende prononcée. Sa faute n'est pas anodine au regard de ces deux infractions. Il a refusé d'obtempérer aux ordres légitimes de fonctionnaires de police, de façon à entraver substantiellement leur travail. Son mobile relève de la colère mal maîtrisée et du mépris de l’ordre public ainsi que des forces de police, alors qu'il a détenu à deux reprises de la drogue en vue de sa consommation. Sa responsabilité reste entière. Bien que sous l’effet de l’alcool, il ne résulte d'aucun élément de la procédure qu'il aurait eu une incapacité de comprendre l'illégalité de ses actes et d'agir en conséquence. Sa vive contestation, nécessitant l’intervention de plusieurs agents, est intervenue après qu'il eut tenté de vendre de la cocaïne à un policier en civil, ce qui témoigne de ses capacités. Dans ces circonstances, la peine pécuniaire de 10 jours-amende à CHF 10.- l'unité et l'amende de CHF 200.-, fixées par le premier juge, apparaissent adéquates et seront confirmées au regard de la faute et de la situation personnelle de l'appelant. 4. L'appelant qui succombe sera condamné à raison des frais de la procédure d'appel, comprenant un émolument de CHF 1'500.- (art. 428 al. 1 CP), ce qui exclut de modifier la répartition des frais fixée par le premier juge et de faire droit aux prétentions en indemnité de l'appelante (art. 429 al. 1 CPP ; ATF 6B_472/2018 du 22 août 2018 consid. 1.2).</w:t>
      </w:r>
    </w:p>
    <w:p>
      <w:r>
        <w:rPr>
          <w:b/>
        </w:rPr>
        <w:t>E. 5</w:t>
      </w:r>
    </w:p>
    <w:p>
      <w:r>
        <w:t>L’état de frais produit par le défenseur d’office de l’appelant paraît adéquat et conforme aux dispositions et principes régissant l’assistance judiciaire pénale. L'indemnité due au défenseur d'office sera par conséquent arrêtée en totalité à CHF 140.45, correspondant à une heure d'activité au tarif horaire de CHF 110.-, forfait de 20% (CHF 22.-) et TVA à 7,7% (CHF 8.45) en sus. * * * * *</w:t>
      </w:r>
    </w:p>
    <w:p>
      <w:r>
        <w:t>- 12/15 - P/127/2018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