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AARP/360/2015 vom 26. August 2015</w:t>
      </w:r>
    </w:p>
    <w:p>
      <w:r>
        <w:t>GE Cour de justice, 2015-08-26, FR</w:t>
      </w:r>
    </w:p>
    <w:p>
      <w:r>
        <w:rPr>
          <w:b/>
        </w:rPr>
        <w:t xml:space="preserve">Quelle: </w:t>
      </w:r>
      <w:r>
        <w:t>https://mcp.opencaselaw.ch/entscheid/ge_gerichte_AARP_360_2015</w:t>
      </w:r>
    </w:p>
    <w:p>
      <w:r>
        <w:t>FR: GE_GERICHTE AARP/360/2015 du 26 août 2015</w:t>
      </w:r>
    </w:p>
    <w:p>
      <w:r>
        <w:t>IT: GE_GERICHTE AARP/360/2015 del 26 agosto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- 7/19 - P/17027/2013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303 CP sanctionne d'une peine privative de liberté ou d'une peine pécuniaire celui qui aura dénoncé à l'autorité, comme auteur d'un crime ou d'un délit, une personne qu'il savait innocente, en vue de faire ouvrir contre elle une poursuite pénale (ch. 1) ou qui, de toute autre manière, aura ourdi des machinations astucieuses en vue de provoquer l'ouverture d'une poursuite pénale contre une personne qu'il savait innocente (ch. 2). La peine sera une peine privative de liberté de trois ans au plus ou une peine pécuniaire si la dénonciation calomnieuse a trait à une contravention.</w:t>
      </w:r>
    </w:p>
    <w:p>
      <w:r>
        <w:t>Cette disposition tend à protéger non seulement l'administration de la justice, mais également la personne qui est accusée faussement (ATF 132 IV 20 consid. 4.1 ; 115 IV 3 consid. 2b ; B. CORBOZ, Les infractions en droit suisse, vol. II, 3e éd., Berne 2010, N. 1, p. 590).</w:t>
      </w:r>
    </w:p>
    <w:p>
      <w:r>
        <w:t>En ce qui concerne l'élément subjectif, l'auteur doit vouloir ou accepter l'éventualité que son comportement provoque contre la personne visée l'ouverture ou la reprise d'une poursuite pénale (cf. ATF 111 IV 163 consid. 2a, 85 IV 83 s. ; B. CORBOZ, op. cit, N.17, p. 591). Le Tribunal fédéral a jugé que le fait de se présenter sous une fausse identité lors d'une arrestation puis d'un interrogatoire par la police réalisait l'infraction de dénonciation calomnieuse indirecte prévue à l'art. 303 ch. 1 al. 2 CP (ATF 132 IV 20 consid. 5).</w:t>
      </w:r>
    </w:p>
    <w:p>
      <w:r>
        <w:rPr>
          <w:b/>
        </w:rPr>
        <w:t>E. 2.2</w:t>
      </w:r>
    </w:p>
    <w:p>
      <w:r>
        <w:t>L'infraction d'induction de la justice en erreur, selon l'art. 304 CP, réprime celui qui aura dénoncé à l'autorité une infraction qu'il savait n'avoir pas été commise ou celui qui se sera faussement accusé auprès de l'autorité d'avoir commis une infraction, la peine étant une peine privative de liberté de trois ans au plus ou une peine pécuniaire, sous réserve des cas de très peu de gravité, pour lesquels l'exemption est permise. Cette infraction est considérée comme moins grave que la précédente du fait que le bien juridique protégé est uniquement celui de la bonne marche de la justice (B. CORBOZ, op. cit, N. 1, p. 594). Dans l'arrêt cité par l'appelant, le Tribunal fédéral a retenu que l'épouse qui avait reconnu faussement qu'elle conduisait la voiture au moment de l'accident pour</w:t>
      </w:r>
    </w:p>
    <w:p>
      <w:r>
        <w:t>- 8/19 - P/17027/2013 détourner les soupçons de son mari, en récidive d'ivresse au volant, avait commis une infraction à l'art. 304 CP.</w:t>
      </w:r>
    </w:p>
    <w:p>
      <w:r>
        <w:rPr>
          <w:b/>
        </w:rPr>
        <w:t>E. 2.3</w:t>
      </w:r>
    </w:p>
    <w:p>
      <w:r>
        <w:t>L'appelant invoque à tort cette dernière jurisprudence. Ce n'est en effet pas son frère qui s'est à tort accusé mais bien lui qui a usurpé l'identité de celui-ci. Le cas de figure est donc celui de l'art. 303 CP, étant observé que l'appelant a nécessairement accepté l'éventualité que son frère fût poursuivi à tort, quand bien même il ne l'appelait sans doute pas de ses vœux. Au demeurant, la question n'a guère de portée pratique, dans la mesure où il faudra néanmoins tenir compte, au stade de la fixation de la peine, de ce que l'innocent dénoncé faussement avait en l'occurrence consenti à, voire suscité, la dénonciation et partant renoncé au bénéfice de la protection accordée par la loi. En outre, les art. 303 et 304 CP se distinguent par le maximum de la peine prévue, non le minimum.</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w:t>
      </w:r>
    </w:p>
    <w:p>
      <w:r>
        <w:t>- 9/19 - P/17027/2013 violée, des peines du même genre (méthode concrète) ; le fait que les dispositions pénales applicables prévoient, de manière abstraite, des peines d'un même genre ne suffit pas (ATF 138 IV 120 consid. 5.2 p. 122 ss).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3.2</w:t>
      </w:r>
    </w:p>
    <w:p>
      <w:r>
        <w:t>L'appelant a commis des fautes qui sont sérieuses et trahissent son absence totale de considération pour la sécurité des autres usagers de la route, les décisions prises à son égard par les autorités administratives, ainsi que pour l'administration de la justice. Comme souligné par le premier juge et le MP, le dépassement de vitesse de 104 km/heure sur un tronçon généralement fréquenté et longeant une promenade prisée, où la vitesse maximale autorisée est de 60 km/heure, est particulièrement répréhensible. La conduite en état d'ébriété ne l'est guère moins. Il y a concours</w:t>
      </w:r>
    </w:p>
    <w:p>
      <w:r>
        <w:t>- 10/19 - P/17027/2013 d'infractions, étant rappelé que la seule violation des règles fondamentales de la circulation routière impose une peine privative de liberté plancher d'un an au moins. La faute globale apparaît d'autant plus importante qu'il y a une escalade dans la gravité des agissements commis. Le seul élément de diminution de la faute réside, s'agissant de l'infraction à l'art. 303 CP, dans le consentement de la victime mais la lésion au bien juridique public de la saine administration de la justice demeure. Les mobiles de l'appelant sont à l'évidence purement égoïstes et futiles ; ils relèvent d'un sentiment de toute-puissance et de désinvolture, l'intéressé faisant passer son envie de conduire nonobstant son état ou les interdictions prononcées à son encontre, son besoin d'arriver à l'heure au travail, et la détermination d'échapper à d'ultérieures sanctions, avant toute autre préoccupation. Les antécédents tant pénaux qu'administratifs de l'appelant aggravent encore la situation. C'est aussi en vain que l'intéressé met en avant sa situation personnelle, étant observé que ni son emploi régulier, ni la stabilité de sa relation conjugale ni encore l'existence de son premier enfant ne l'ont empêché de commettre l'infraction de l'automne 2013. Le premier juge a correctement tenu compte d'une ébauche de prise de conscience, dont il est vrai qu'elle paraît uniquement dictée par la crainte d'une sanction sérieuse. Au regard de l'ensemble de ces circonstances, la peine privative de liberté de 20 mois prononcée en première instance est adéquate, tout particulièrement au regard de l'aggravation commandée par les règles sur le concours, et doit être confirmée.</w:t>
      </w:r>
    </w:p>
    <w:p>
      <w:r>
        <w:rPr>
          <w:b/>
        </w:rPr>
        <w:t>E. 3.6</w:t>
      </w:r>
    </w:p>
    <w:p>
      <w:r>
        <w:t>p. 25).</w:t>
      </w:r>
    </w:p>
    <w:p>
      <w:r>
        <w:t>- 11/19 - P/17027/2013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consid. 4.2.1 p. 5 ; arrêt du Tribunal fédéral 6B_1044/2013 du 4 mars 2014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w:t>
      </w:r>
    </w:p>
    <w:p>
      <w:r>
        <w:t>4.2.1. Selon l'art. 43 CP, le juge peut suspendre partiellement l'exécution d'une peine pécuniaire, d'un travail d'intérêt général ou d'une peine privative de liberté d'un an au moins et de trois ans au plus afin de tenir compte de façon appropriée de la faute de l'auteur (al. 1).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4.2.2.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4.2.3. Les conditions objectives de l'art. 42 CP et celles de l'art 43 CP ne correspondent en revanche pas. Ainsi, les peines privatives de liberté jusqu'à une</w:t>
      </w:r>
    </w:p>
    <w:p>
      <w:r>
        <w:t>- 12/19 - P/17027/2013 année ne peuvent être assorties du sursis partiel. Une peine de 12 à 24 mois peut être assortie du sursis ou du sursis partiel. Le sursis total à l'exécution d'une peine privative de liberté est exclu, dès que celle-ci dépasse 24 mois. Jusqu'à 36 mois, le sursis partiel peut cependant être octroyé (ATF 134 IV 1 consid. 5.3.2 p. 11).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 4.2.4. Dans le cas des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(ATF 116 IV 97).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 prévention spéciale. Le juge est tenu d'examiner cette possibilité préalablement (ATF 134 IV 1 consid. 5.5.2 p. 14). 4.2.5. Enfin, le juge doit, s'il prononce une peine privative assortie d'un sursis partiel, non seulement fixer au moment du jugement la quotité de la peine qui est exécutoire et celle qui est assortie du sursis, mais également mettre en proportion adéquate une partie à l'autre. Selon l'art. 43 CP la partie à exécuter doit être au moins de six mois</w:t>
      </w:r>
    </w:p>
    <w:p>
      <w:r>
        <w:t>- 13/19 - P/17027/2013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w:t>
      </w:r>
    </w:p>
    <w:p>
      <w:r>
        <w:rPr>
          <w:b/>
        </w:rPr>
        <w:t>E. 4.1</w:t>
      </w:r>
    </w:p>
    <w:p>
      <w:r>
        <w:t>Sur le plan objectif, seules les peines de six mois à deux ans peuvent être assorties du sursis total (cf. art. 42 al. 1 CP). Le cadre élargi défini par le nouveau droit pour la fixation de la peine ne justifie plus une relativisation de la limite légale permettant l'octroi du sursis ou du sursis partiel (ATF 134 IV 17, consid. 3 p. 22). Dans ce sens, la jurisprudence inaugurée avec l'ATF 118 IV 337 n'a plus cours. Cependant, lorsque la peine entrant en considération se situe dans un intervalle dont les bornes comprennent la limite supérieure à l'octroi du sursis (24 mois), du sursis partiel (36 mois) ou de la semi- détention (art. 77b CP :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24-25). Dans tous les cas, le juge doit motiver sa décision, sous peine de violer son obligation de motivation prévue à l'art. 50 CP (ATF 134 IV 17 consid.</w:t>
      </w:r>
    </w:p>
    <w:p>
      <w:r>
        <w:rPr>
          <w:b/>
        </w:rPr>
        <w:t>E. 4.3</w:t>
      </w:r>
    </w:p>
    <w:p>
      <w:r>
        <w:t>Conformément à l'art. 90a al. 1 LCR le juge peut ordonner la confiscation d'un véhicule automobile lorsque (a) les règles de la circulation ont été violées gravement et sans scrupules et que (b) cette mesure peut empêcher l'auteur de commettre d'autres violations graves des règles de la circulation.</w:t>
      </w:r>
    </w:p>
    <w:p>
      <w:r>
        <w:t>Selon le Tribunal fédéral, les conditions de la confiscation posées à l'art. 90a al. 1 let. a LCR sont en principe remplies en cas de violation grave qualifiée des règles de circulation, au sens de l'art. 90 al. 3 et 4 LCR. Pour ce qui est de la condition cumulative de l'art. 90a al. 1er let. b LCR, on peut continuer à se référer à la pratique antérieure à l'entrée en vigueur du dispositif Via secura et se demander (dans le sens d'un pronostic de danger) si le véhicule en main de l'auteur compromet à l'avenir la sécurité du trafic et si la confiscation est apte à le détourner de commettre d'autres infractions graves aux règles de la circulation (ATF 140 IV 133 consid 3.4 ; JdT 2014 I p. 329).</w:t>
      </w:r>
    </w:p>
    <w:p>
      <w:r>
        <w:rPr>
          <w:b/>
        </w:rPr>
        <w:t>E. 4.4</w:t>
      </w:r>
    </w:p>
    <w:p>
      <w:r>
        <w:t>Les conséquences auxquelles l'appelant se dit exposé en cas de prononcé d'une peine ferme, soit celle de la perte de son emploi, éventualité qu'il faut prendre en considération mais qui n'est pas certaine, l'employeur de l'appelant, qui se dit content de lui, pouvant changer d'avis, et des aménagements horaires pour coïncider avec les contraintes du régime de semi-détention étant possibles, et celle de la séparation d'avec sa famille, ne constituent pas en tant que telles un motif d'octroi du sursis. Cette dernière question ne saurait, en l'espèce, être examinée indépendamment de celle de la confiscation de son véhicule. En effet, le pronostic paraît, prima facie, défavorable vu les circonstances très négatives, soit notamment la gravité des infractions commises, la récidive spécifique, à laquelle s'ajoute celle constituée par la violation fondamentale des règles de la LCR, alors que l'appelant pensait avoir quelques mois auparavant échappé, au prix d'une infraction supplémentaire, à l'ouverture d'une procédure pénale, l'escalade dans la gravité, la désinvolture marquée de l'intéressé à tout le moins jusqu'à la récente ébauche de prise de</w:t>
      </w:r>
    </w:p>
    <w:p>
      <w:r>
        <w:t>- 14/19 - P/17027/2013 conscience, et le fait qu'il ne s'agit, précisément, que d'une ébauche. Les éléments mis en avant par l'appelant, soit qu'il n'a plus commis d'infraction depuis le 7 novembre 2013 et s'abstient de conduire sur territoire helvétique ne sont pas de nature à modifier cette conclusion, s'agissant du minimum que l'on peut attendre de lui, d'autant que l'interdiction de conduire en Suisse n'a pas été levée. Au contraire, le fait qu'il n'ait pas renoncé à conduire en France, où il réside, reste un sujet de préoccupation, étant observé que le juge suisse ne saurait s'accommoder du risque de commission d'une infraction du simple fait qu'elle aurait lieu de l'autre côté de la frontière. L'éventualité de la confiscation du motocycle pourrait en revanche avoir paradoxalement un effet positif sur l'appelant dans la mesure où cela le mettrait à l'abri d'une tentation d'autant plus forte que l'objet est puissant, manifestement apprécié de son propriétaire et à portée d'usage immédiat. Au plan juridique, contrairement à ce que soutient l'intéressé – autre source de préoccupation s'agissant de la concrétisation de la démarche de prise de conscience, comme mis en exergue par le MP – la mesure est fondée. L'appelant a commis une violation fondamentale des règles de la circulation routière et on ne se trouve pas dans une situation où l'on pourrait retenir que la condition de l'absence de scrupules n'est, en dérogation au principe général posé par le Tribunal fédéral, pas réalisée ; il ne le soutient au demeurant pas. La confiscation est de nature, comme déjà dit, de le détourner de commettre d'autres infractions graves. En conclusion, la CPAR retiendra que la confirmation de la confiscation et la crainte d'avoir à exécuter une peine relativement longue en cas de récidive en Suisse constituent l'unique combinaison d'éléments susceptible de faire basculer le pronostic, en le faisant passer de défavorable à très incertain, ce qui permet encore l'octroi du sursis. S'agissant d'un cas limite, et l'appelant ayant encore beaucoup de travail à accomplir sur la voie de la prise de conscience, le prononcé d'un long délai d'épreuve de quatre ans s'impose.</w:t>
      </w:r>
    </w:p>
    <w:p>
      <w:r>
        <w:rPr>
          <w:b/>
        </w:rPr>
        <w:t>E. 4.5</w:t>
      </w:r>
    </w:p>
    <w:p>
      <w:r>
        <w:t>L'appel sera ainsi partiellement admis et le jugement entrepris annulé uniquement dans la mesure où il refuse à l'appelant le bénéfice du sursis complet, la mesure de confiscation étant en revanche confirmée.</w:t>
      </w:r>
    </w:p>
    <w:p>
      <w:r>
        <w:rPr>
          <w:b/>
        </w:rPr>
        <w:t>E. 5</w:t>
      </w:r>
    </w:p>
    <w:p>
      <w:r>
        <w:t>L'appelant succombe pour l'essentiel ; il supportera les trois quarts des frais de la procédure envers l'État (art. 428 CPP), lesquels comprennent un émolument de CHF 1'500.-.</w:t>
      </w:r>
    </w:p>
    <w:p>
      <w:r>
        <w:t>- 15/19 - P/17027/2013</w:t>
      </w:r>
    </w:p>
    <w:p>
      <w:r>
        <w:rPr>
          <w:b/>
        </w:rPr>
        <w:t>E. 6</w:t>
      </w:r>
    </w:p>
    <w:p>
      <w:r>
        <w:t>6.1.1.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6.1.2. Cette dernière disposition prescrit que l'indemnité, en matière pénale, est calculée selon le tarif horaire suivant, débours de l'étude inclus : avocat stagiaire CHF 65.- (let. a) ; collaborateur CHF 125.- (let. b) ; chef d'étude CHF 200.- (let. c). 6.1.3.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6.1.4.1.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6.1.4.2. Reprenant l'activité de taxation suite à l'entrée en vigueur du CPP, la CPAR s'est inspirée des "Instructions relatives à l'établissement de l'état de frais" et de "l'Etat de frais standard – Mode d'emploi et modèle" émis en 2002 et 2004, dans un souci de rationalisation et de simplification, par le Service de l'assistance juridique, autrefois chargé de la taxation.</w:t>
      </w:r>
    </w:p>
    <w:p>
      <w:r>
        <w:t>- 16/19 - P/17027/2013 6.1.4.3. La jurisprudence de la CPAR a ainsi maintenu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Par voie de conséquence, la rédaction de la déclaration d'appel, qui n'a pas à être motivée et peut donc prendre la forme d'une simple lettre, est en principe incluse dans ledit forfait (arrêt de la Cour des plaintes du Tribunal pénal fédéral BB.2014.51 consid. 2.1. du 21 novembre 2014).</w:t>
      </w:r>
    </w:p>
    <w:p>
      <w:r>
        <w:rPr>
          <w:b/>
        </w:rPr>
        <w:t>E. 6.2</w:t>
      </w:r>
    </w:p>
    <w:p>
      <w:r>
        <w:t>En l'espèce, on peut admettre comme adéquates trois heures et 30 minutes d'activités (CHF 700.- vu le taux horaire du chef d'étude) pour la rédaction du mémoire d'appel, lequel reprend l'argumentation prématurément développée dans la déclaration d'appel, la décision de produire deux pièces nouvelles ainsi que l'établissement d'une réplique. Le nouveau défenseur d'office de l'appelant a en effet dû prendre connaissance du dossier et s'assurer que ladite argumentation déjà développée était adéquate. En revanche, la constitution du bordereau de pièces, tâche qui relève du secrétariat, et les frais de dossier sont inclus dans le tarif horaire. La correspondance est couverte par la majoration forfaitaire de 20% (CHF 140.-). L'activité du défenseur d'office de l'appelant sera ainsi indemnisée par le versement d'une somme de CHF 907.20 (TVA au taux de 8%, soit CHF 67.20, comprise). * * * * *</w:t>
      </w:r>
    </w:p>
    <w:p>
      <w:r>
        <w:t>- 17/19 - P/17027/2013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