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AARP/359/2017 vom 9. November 2017</w:t>
      </w:r>
    </w:p>
    <w:p>
      <w:r>
        <w:t>GE Cour de justice, 2017-11-09, FR</w:t>
      </w:r>
    </w:p>
    <w:p>
      <w:r>
        <w:rPr>
          <w:b/>
        </w:rPr>
        <w:t xml:space="preserve">Quelle: </w:t>
      </w:r>
      <w:r>
        <w:t>https://mcp.opencaselaw.ch/entscheid/ge_gerichte_AARP_359_2017</w:t>
      </w:r>
    </w:p>
    <w:p>
      <w:r>
        <w:t>FR: GE_GERICHTE AARP/359/2017 du 9 novembre 2017</w:t>
      </w:r>
    </w:p>
    <w:p>
      <w:r>
        <w:t>IT: GE_GERICHTE AARP/359/2017 del 9 novembre 2017</w:t>
      </w:r>
    </w:p>
    <w:p>
      <w:pPr>
        <w:pStyle w:val="Heading2"/>
      </w:pPr>
      <w:r>
        <w:t>Erwägungen</w:t>
      </w:r>
    </w:p>
    <w:p>
      <w:r>
        <w:rPr>
          <w:b/>
        </w:rPr>
        <w:t>E. 1</w:t>
      </w:r>
    </w:p>
    <w:p>
      <w:r>
        <w:t>La demande de révision a été transmise à l'autorité compétente pour en connaitre comme prévu par la loi (art. 411 al. 1 CPP).</w:t>
      </w:r>
    </w:p>
    <w:p>
      <w:r>
        <w:rPr>
          <w:b/>
        </w:rPr>
        <w:t>E. 1.6</w:t>
      </w:r>
    </w:p>
    <w:p>
      <w:r>
        <w:t>; N. SCHMID, Schweizerische Strafprozessordnung : Praxiskommentar, Zurich 2009, n. 1 ad art. 412 CPP ; A. KUHN / Y. JEANNERET (éds.),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t>2.2.1. En l'occurrence, l'ordonnance pénale querellée est assimilée à un jugement (art. 354 al. 3 CPP). Elle n'a en effet pas été frappée d'une opposition dans le délai légal et, en l'état, il n'a pas été jugé que celle faite tardivement serait néanmoins valable. Dite ordonnance est donc susceptible de révision. 2.2.2. Il est vrai que cette décision paraît omettre l'existence du jugement du TAPI réduisant le périmètre et la durée de l'interdiction d'entrée. Pour autant, il est douteux que le jugement en question puisse être qualifié d'élément "nouveau" au sens de l'art. 410 al. 1 let. a CPP, soit d'"inconnu" du MP à l'heure du prononcé de dite ordonnance, dès lors qu'il figurait au dossier. En omettant d'en tenir compte, le MP aurait donc commis une erreur qui n'aurait pu, voire ne pourrait, être rectifiée que par la voie d'une opposition, formée valablement.</w:t>
      </w:r>
    </w:p>
    <w:p>
      <w:r>
        <w:t>- 5/7 - P/8529/2017 2.2.3. La question souffre cependant de demeurer ouverte, dès lors qu'en tout état, une rectification de l'accusation intégrant les limitations portées à l'interdiction de pénétrer ne conduirait nullement à une libération du requérant. Il resterait en effet que celui-ci s'est trouvé, à Genève, à la rue de Berne en date du 20 avril 2017, soit dans le périmètre et durant la période de six mois courant depuis le 22 novembre 2016. Certes, le dossier ne dit pas si la carte évoquée dans le jugement du TAPI a été communiquée au défenseur du requérant mais ce dernier ne prétend pas que tel n'aurait pas été le cas, et, en toute hypothèse, il est indiscutable que la rue de Berne fait partie du centre-ville. En d'autres termes, le requérant a en tout état contrevenu à l'interdiction de périmètre, telle que réduite par le TAPI. La demande de révision est ainsi manifestement irrecevable, le motif sur lequel elle est fondée paraissant d'emblée impropre à justifier le prononcé d'une décision plus favorable au requérant.</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Aux termes de l'art. 412 al. 1 et 2 CPP, la juridiction d'appel examine préalablement la demande de révision en procédure écrite. Elle n'entre pas en matière si la demande est manifestement irrecevable.</w:t>
      </w:r>
    </w:p>
    <w:p>
      <w:r>
        <w:t>- 4/7 - P/8529/2017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w:t>
      </w:r>
    </w:p>
    <w:p>
      <w:r>
        <w:rPr>
          <w:b/>
        </w:rPr>
        <w:t>E. 3</w:t>
      </w:r>
    </w:p>
    <w:p>
      <w:r>
        <w:t>Vu l'issue de la procédure, il n'y a pas lieu de désigner un défenseur d'office au requérant, lequel supportera les frais de la procédure, comprenant un émolument d'arrêt de CHF 1'000.- (art. 429 CPP et art. 14 al. 1 let. e du règlement fixant le tarif des frais en matière pénale, du 22 décembre 2010 [RTFMP ; RS-GE E 4 10.03]).</w:t>
      </w:r>
    </w:p>
    <w:p>
      <w:r>
        <w:t>* * * * *</w:t>
      </w:r>
    </w:p>
    <w:p>
      <w:r>
        <w:t>- 6/7 - P/8529/2017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