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AARP/358/2024 vom 9. Oktober 2024</w:t>
      </w:r>
    </w:p>
    <w:p>
      <w:r>
        <w:t>GE Cour de justice, 2024-10-09, FR</w:t>
      </w:r>
    </w:p>
    <w:p>
      <w:r>
        <w:rPr>
          <w:b/>
        </w:rPr>
        <w:t xml:space="preserve">Quelle: </w:t>
      </w:r>
      <w:r>
        <w:t>https://mcp.opencaselaw.ch/entscheid/ge_gerichte_AARP_358_2024</w:t>
      </w:r>
    </w:p>
    <w:p>
      <w:r>
        <w:t>FR: GE_GERICHTE AARP/358/2024 du 9 octobre 2024</w:t>
      </w:r>
    </w:p>
    <w:p>
      <w:r>
        <w:t>IT: GE_GERICHTE AARP/358/2024 del 9 ottobre 2024</w:t>
      </w:r>
    </w:p>
    <w:p>
      <w:pPr>
        <w:pStyle w:val="Heading2"/>
      </w:pPr>
      <w:r>
        <w:t>Erwägungen</w:t>
      </w:r>
    </w:p>
    <w:p>
      <w:r>
        <w:rPr>
          <w:b/>
        </w:rPr>
        <w:t>E. 30</w:t>
      </w:r>
    </w:p>
    <w:p>
      <w:r>
        <w:t>janvier 2024 consid. 2.3.7.1. et ss. ; AARP/88/2024 du 6 mars 2024 ; AARP/133/2024 du 29 avril 2024 ; AARP/268/2024 du 5 août 2024). 2.4.5. L'appelant soutient que la formulation de l'article précité est si vague qu'elle ne lui permettrait pas de déterminer où pratiquer la mendicité licitement et que la marge d'interprétation laissée à l'autorité conduirait à des inégalités de traitement.</w:t>
      </w:r>
    </w:p>
    <w:p>
      <w:r>
        <w:t>Ce faisant, il ne prétend pas, quand bien même il est d'origine étrangère et illettré, ne pas avoir compris qu'interdiction lui était faite de mendier devant ou à proximité de l'entrée des différents commerces alimentaires, à l'intérieur/aux abords du marché ou devant l'arrêt de bus, où il a été déclaré en contravention. Il le peut d'autant moins que, bien qu'informé de l'interdiction de mendier à l'endroit où il se trouvait, il a récidivé devant le même type de commerce, voire les mêmes enseignes, quelques jours ou semaines plus tard. Cela témoigne du fait que l'ignorance de la règlementation ou un doute sur son interprétation n'ont pas joué de rôle dans sa détermination de commettre les infractions qui lui sont reprochées. En cas de doute, il lui appartenait, dès sa première contravention, de se renseigner et d'adapter son comportement au cadre légal, l'interdiction de mendier n'étant que partielle.</w:t>
      </w:r>
    </w:p>
    <w:p>
      <w:r>
        <w:t>Pour le surplus, il ne soutient ni n'avoir mésestimé la distance prohibée ni que l'appréciation des notions générales et abstraites faite par les autorités pénales in concreto serait arbitraire, ce qui n'est pas le cas à la lecture des rapports de police.</w:t>
      </w:r>
    </w:p>
    <w:p>
      <w:r>
        <w:t>- 8/17 - P/8810/2023 2.4.6.1. La CourEDH a admis qu'une interdiction de la mendicité pouvait poursuivre des buts légitimes, notamment la protection de l'ordre public, de la sécurité et de la tranquillité publics, afin de ne pas porter atteinte aux passants, aux résidents et aux commerçants. Elle a laissé ouverte la question de savoir si d'autres buts légitimes pouvaient également être poursuivis par la mesure litigieuse, tout en précisant que la volonté de rendre la pauvreté moins visible dans une ville et d'attirer les investisseurs n'était toutefois pas légitime (arrêt Lacatus c. Suisse § 96, 97 et 113). Le Tribunal fédéral a confirmé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(ATF 149 I 248 consid. 4.6.2 et 5.3.2). En ce qui concerne l'art. 11A al. 1 let. c LPG, les représentants des commerçants, incluant tant ceux de la grande distribution que ceux du commerce de détail, ont été interrogés par la commission judiciaire et de la police chargée d'étudier le projet de la LPG et ont décrit de manière unanime un impact négatif sur la clientèle résultant de la présence de mendiants statiques devant les magasins, perçue par certains comme une atteinte à leur sécurité et leur confort (cf. rapport p. 23). Les représentants des marchés et des brocanteurs ont constaté une dégradation "importante et violente" de la situation en suite de l'arrêt de la CourEDH. Les mendiants venaient en nombre sur les marchés et se montraient plus agressifs ainsi que plus présents que par le passé. Des clients étaient notamment bousculés. La convivialité des marchés en avait pâti. Les commerçants n'étaient plus tranquilles et étaient toujours aux aguets, à regarder ce qu'il se passait derrière leur stand afin d'éviter des larcins. Le chiffre d'affaires des marchés où la police municipale était plus présente et la clientèle moins opportunée était meilleure que sur ceux où tel n'était pas le cas (cf. rapport pp. 10 et 11). 2.4.6.2. Vu ce qui précède, in casu, en se plaçant devant l'entrée des magasins d'alimentation, d'un marché ou devant un arrêt de bus pour mendier, de telle sorte que la clientèle ainsi que les usagers des transports publics n'aient d'autre alternative que de passer devant lui, l'appelant a pris le risque de gêner les personnes souhaitant faire des achats ou prendre leur bus ainsi que de susciter chez elles un sentiment d'insécurité, cela sans l'accord des ayants droit (commerçants, marchands, entreprises de transports public…), dont les droits méritent eux aussi protection. Contrairement à l'avis de la défense, la gêne occasionnée par la mendicité passive ne saurait être comparée à celle générée par les collectes caritatives dans la rue, lesquelles requièrent une autorisation étatique pour l'utilisation accrue du domaine public, dite autorisation étant octroyée pour un temps et un lieu déterminés, voire</w:t>
      </w:r>
    </w:p>
    <w:p>
      <w:r>
        <w:t>- 9/17 - P/8810/2023 contre le paiement d'un émolument. Lorsqu'une telle collecte est organisée "aux abords immédiats" d'un commerce, elle recueille en principe l'accord de l'exploitant. Au vu de ce qui précède, l'interdiction de mendier aux abords immédiats des magasins, marchés et arrêts de bus poursuit des intérêts publics reconnus. 2.4.7.1. Cette interdiction doit enfin être proportionnée (art. 36 al. 3 Cst.) ou nécessaire dans une société démocratique (art. 8 § 2 CEDH). Pour que tel soit le cas, il faut que la limitation des droits fondamentaux soit apte à atteindre le but visé, que celui-ci ne puisse pas être atteint par une mesure moins incisive et qu'il existe un rapport raisonnable entre les effets de la mesure sur la situation de la personne visée et le résultat escompté du point de vue de l'intérêt public. Plus particulièrement s'agissant de personnes mendiantes, il faut tenir compte du fait qu'elles sont généralement nécessiteuses et vulnérables et qu'elles dépendent de la mendicité comme moyen de subsistance (ATF 149 I 248 consid. 4.6.3). Dans son examen de la constitutionnalité de la loi bâloise, laquelle, à l'instar de la loi genevoise, punit quiconque mendie dans divers lieux du territoire cantonal abstraitement énumérés, le Tribunal fédéral a rejeté l'argument des recourants selon lequel cette règlementation était trop restrictive et ne ménageait pas assez d'espaces où la mendicité soit permise. Il a rappelé à cette occasion que la réglementation adoptée protégeait l'accessibilité des bâtiments et installations publics et privés, de même que la sphère privée de celles et ceux qui les fréquentaient à des fins pécuniaires ou personnelles. Elle laissait néanmoins subsister des possibilités suffisantes de pratiquer la mendicité sur le territoire cantonal, y compris dans le centre-ville (ATF 149 I 248 consid. 5.3.1 et 5.3.2). Le Tribunal fédéral a par ailleurs considéré que la mise en place d'un filet social découlant de la règlementation en matière d'aide sociale permettait de déduire que, pour la très grande majorité des personnes qui se livraient à la mendicité, son interdiction ne les priverait pas du minimum nécessaire, mais d'un revenu d'appoint. Les effets d'une interdiction sur la situation des personnes visées n'étaient dès lors en principe pas tels qu'ils ne seraient plus dans un rapport raisonnable avec le résultat escompté du point de vue de l'intérêt public (ATF 134 I 214 consid. 5.7.3). 2.4.7.2. La règlementation genevoise ne diffère guère, en la matière, de la loi bâloise, en ce qu'elle dresse une liste des lieux où il existe un intérêt public à la prohibition de la mendicité. L'interdiction partielle est apte à atteindre les buts d'intérêt public susmentionnés. L'appelant ne suggère du reste pas de mesure moins incisive apte à atteindre ceux-ci. Contrairement à ce qu'il soutient, cette liste n'aboutit pas à une interdiction de facto de toute mendicité. Quand bien même il n'appartient pas à la Chambre de céans d'énumérer les lieux où il pourrait pratiquer cette activité</w:t>
      </w:r>
    </w:p>
    <w:p>
      <w:r>
        <w:t>- 10/17 - P/8810/2023 licitement, il n'en demeure pas moins que le territoire cantonal genevois est vaste et que, même en ville de Genève, nombreux sont les rues/lieux qui ne sont pas concernés par les interdictions prévues à l'art. 11A al. 1 let. c LPG. La limitation du droit de mendier figurant à l'art. 11A al. 1 let. c LPG respecte par conséquent le principe de la proportionnalité. 2.5.1. L'appelante estime que l'art. 11A LPG, pris dans sa globalité, contrevient à la liberté de communication consacrée par la Cst. et la CEDH. Tant l'art. 16 al. 2 Cst. que l'art. 10 § 1 de la CEDH protègent le droit de toute personne de former, d'exprimer et de répandre librement son opinion ou des idées, sans qu'il puisse y avoir d'ingérence d'autorités publiques et sans considération de frontière. Dans l'arrêt Lacatus c. Suisse, la CourEDH a laissée ouverte la question de savoir si l'exercice de la mendicité était protégé par la liberté d'expression (cf. § 120) Jusqu'à présent, le Tribunal fédéral a tranché ce point par la négative, considérant que le but de la mendicité n'était pas d'exprimer un besoin, mais plutôt d'en obtenir la satisfaction par le biais d'un don, très généralement sous la forme d'une prestation en argent. Il fallait donc exclure tout contenu symbolique au comportement de la personne qui mendiait et partir de ce que le message qu'elle adressait aux passants était restreint à la seule expression de son dénuement personnel ou, tout au plus familial, et à son besoin d'aide, soit une problématique privée. Cette communication apparaissait ainsi d'emblée comme un simple élément secondaire, quoique nécessaire, de son activité de mendicité (arrêts du Tribunal fédéral 1C_443/2017 du 29 août 2018 consid. 6.2 et 6B_530/2014 du 10 septembre 2014 consid. 2.7). La CSTCJ a elle aussi considéré que la communication préalable de la précarité et du besoin d'aide était secondaire par rapport à la satisfaction dudit besoin et qu'elle relevait d'une problématique privée, non protégée par la liberté d'expression (ACST/12/2022 du 28 juillet 2022 consid. 12c). Dans un arrêt plus récent, après avoir rappelé les opinions divergentes exprimées par certains juges de la CourEDH et auteurs de doctrine, le Tribunal fédéral a estimé qu'il n'y avait pas lieu, en l'état, de revenir sur cette jurisprudence, les recourants n'expliquant pas suffisamment en quoi la reconnaissance d'une atteinte à la sphère de protection de la liberté d'expression leur conférerait un meilleur statut juridique, dont l'effet protecteur irait au-delà de celui de la liberté personnelle (ATF 149 I 248 consid. 4.4).</w:t>
      </w:r>
    </w:p>
    <w:p>
      <w:r>
        <w:t>- 11/17 - P/8810/2023 2.5.2. Il n'y pas lieu d'adopter une position différente dans le cas d'espèce. Il ne ressort au demeurant pas du dossier que l'appelant aurait exprimé autre chose que son besoin personnel d'aide, de sorte qu'il ne saurait, dans ce contexte, se prévaloir de sa liberté d'expression pour faire obstacle à la sanction de son comportement. L'appelant n'explique en effet pas en quoi la liberté d'expression lui conférerait une protection plus étendue que la liberté personnelle, étant rappelé qu'il lui est reproché, non pas d'avoir mendié, mais de l'avoir fait dans un périmètre interdit. Même à imaginer l'inverse, une ingérence dans ce droit serait justifiée et proportionnée, les motifs évoqués ci-avant en lien avec la liberté personnelle valant mutatis mutandis. Ce grief doit dès lors être rejeté. 2.6.1.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Il y a discrimination indirecte lorsqu'une réglementation formulée de manière neutre en soi, désavantage dans ses effets réels les membres d'un groupe de personnes spécifiquement protégé contre la discrimination, sans que cela soit objectivement justifié (ATF 141 I 241 consid. 4.3.2 ; 135 I 49 consid. 4.1). L'atteinte doit néanmoins atteindre une importance significative, d'autant plus que l'interdiction de la discrimination indirecte ne peut servir qu'à corriger les effets négatifs les plus évidents d'une réglementation étatique (ATF 142 V 316 consid. 6.1.2 ; 138 I 205 consid. 5.5 et arrêt du Tribunal fédéral 2C_121/2022 du 24 novembre 2022 consid. 5.1). 2.6.2. L'art. 14 CEDH complète les autres clauses normatives de la Convention et des Protocoles et n'a pas de portée indépendante (arrêt du Tribunal fédéral 2C_1079/2019 du 23 décembre 2021 consid. 8.1). Toute différence de traitement n'emporte pas automatiquement une violation de cet article. Il faut démontrer que des personnes placées dans des situations analogues ou comparables jouissent d'un traitement préférentiel, et que cette distinction est discriminatoire. Tel est le cas si la différence de traitement manque de justification objective et raisonnable, soit si elle ne poursuit pas un but légitime ou s'il est clairement établi qu'il n'existe pas de rapport raisonnable de proportionnalité entre les moyens employés et le but visé (CourEDH Ryser c. Suisse du 12 janvier 2021 § 46 et ss. ; Belli et Arquier-Martinez c. Suisse du 11 décembre 2018 § 89 et ss. ; arrêt du Tribunal fédéral 2C_121/2022 du 24 novembre 2022 consid. 5.2). Dans son arrêt Lacatus c. Suisse (cf. §123), la CourEDH a estimé qu'il n'y avait pas lieu de statuer séparément sur le grief découlant de l'art. 14 CEDH dans la mesure où il n'avait pas de portée indépendante de l'art. 8 CEDH.</w:t>
      </w:r>
    </w:p>
    <w:p>
      <w:r>
        <w:t>- 12/17 - P/8810/2023 2.6.3. Dans son ATF 149 I 248, le Tribunal fédéral a jugé que le texte de la loi bâloise était neutre dans la mesure où il visait tous les mendiants, y compris ceux de nationalité suisse, et donc pas uniquement les Roms (cf. consid. 7.4). Dans le cadre de son contrôle abstrait, il n'y avait pas d'indices suffisants d'une éventuelle application discriminante de la loi dans la mesure où il n'était pas étayé que les autorités avaient traité plus sévèrement les mendiants Roms que les indigènes. Notre Haute Cour a toutefois relevé qu'il appartenait aux autorités d'exécution bâloises d'appliquer de manière non discriminatoire leur nouvelle base légale (cf. consid. 7.5). 2.6.4. La CSTCJ a rejeté le grief d'un traitement discriminatoire sur la base de la pauvreté. Le fait d'être pauvre ne donnait pas d'emblée droit à la protection de l'art. 8 al. 2 Cst. Même dans une telle hypothèse, la loi pouvait sanctionner la mendicité afin de protéger l'ordre public et lutter contre l'exploitation humaine et non pour dévaloriser ou exclure. Par ailleurs, le système juridique suisse répondait à la détresse des personnes par l'octroi de l'aide sociale au sens de l'art. 12 Cst., de manière à leur éviter de devoir mendier pour satisfaire leurs besoins élémentaires (ACST/12/2022 du 28 juillet 2022 consid. 11c). 2.6.5.1. Le texte de loi cantonal est neutre en ce sens qu'il ne contient aucune expression directement discriminante et, comme l'a souligné la CSTCJ, le fait d'être pauvre ne donne pas d'emblée droit à la protection de l'art. 8 al. 2 Cst. De surcroît, il n'y a pas de discrimination dans la mesure où l'activité demeure autorisée dans des espaces publics avec du passage et est seulement règlementée là où les motifs d'intérêt public évoqués supra le justifient (cf. consid. 2.3.1 et ss.). 2.6.5.2. Il n'y a dès lors pas de discrimination fondée en raison de la pauvreté de l'appelant, et ce grief doit être rejeté. 2.7.1. Il résulte de ce qui précède que c'est à bon droit que l'appelant a été reconnu coupable de mendicité au sens de l'art. 11A al. 1 let. c LPG. Sa condamnation de ce chef doit donc être confirmée, en tant qu'elle ne constitue pas, in casu, une ingérence injustifiée dans ses droits fondamentaux. 2.7.2. L'appel est par conséquent rejeté s'agissant de la culpabilité, hormis en lien avec les faits du 26 janvier 2022 (15h01) pour lesquels un acquittement se justifie. 3. 3.1. Dans son arrêt Lacatus c. Suisse, la CourEDH n'a pas exclu une sanction pénale à la mendicité, dans le sens que la gravité de ladite sanction doit être examinée dans le cadre d'une pesée des intérêts et à l'aune de solides motifs d'intérêt public. En l'absence de mendicité intrusive ou agressive, ou de plainte pénale contre le mendiant, l'on pouvait douter d'un intérêt public concret de protection des droits des</w:t>
      </w:r>
    </w:p>
    <w:p>
      <w:r>
        <w:t>- 13/17 - P/8810/2023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 108ss). 3.2. Le Tribunal fédéral, tout en admettant qu'il n'était pas question de renoncer à sanctionner une personne dont le comportement avait été reconnu par le législateur comme digne d'être puni, au seul motif qu'elle était sans ressources, a néanmoins jugé qu'il n'était pas admissible, au regard de la Cst. et de la CEDH, de sanctionner d'emblée la mendicité passive pratiquée dans certains lieux par une amende qui, au vu du dénuement des personnes concernées, était presque automatiquement convertie en jours de détention. Une amende, même modique et n'excédant pas CHF 50.-, ne pouvait ainsi être envisagée qu'en dernier recours, après que d'autres mesures mieux adaptées aient échoué. Il a évoqué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5.4.2, 5.4.6 et 5.4.7). 3.3. Se fondant sur l'arrêt du Tribunal fédéral précité, la CPAR a adopté une pratique, désormais bien établie, selon laquelle la première contravention d'un contrevenant primaire ne devait pas donner lieu à une sanction, à moins qu'il résulte du dossier que celui-ci avait fait l'objet d'une mesure administrative ou d'un avertissement formel avant la notification de ladite première contravention (cf. AARP/46/2024 du 20 janvier 2024 ; AARP/88/2024 du 6 mars 2023 ; AARP/133/2024 du 29 avril 2024 ; AARP/183/2024 du 24 mai 2024 ; AARP/194/2024 du 10 juin 2024 ; AARP/250/2024 du 16 juillet 2024 ; AARP/268/2024 du 5 août 2024). 3.4.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3.5. Le TP s'est conformé à la pratique de la Cour en renonçant à sanctionner la première occurrence réalisée par l'appelant, contrevenant primaire, dont rien n'indique qu'il aurait fait l'objet d'une quelconque mesure administrative ou d'un avertissement formel avant la notification de cette première contravention le 25 novembre 2022.</w:t>
      </w:r>
    </w:p>
    <w:p>
      <w:r>
        <w:t>- 14/17 - P/8810/2023 Compte tenu de ce qui précède, la faute de l'appelant doit être qualifiée de peu d'importance. Il a mendié à huit reprises dans des espaces proscrits, sur une période pénale de quatre mois. Il a fait fi de l'ordre juridique genevois et de ses autorités, qu'il a mobilisées à autant de reprises et dont il s'est obstiné à ne pas écouter les injonctions quant à l'illicéité de ses agissements. Sa situation personnelle, précaire, explique ses agissements sans les justifier, puisqu'il existe d'autres lieux où il pouvait s'adonner à la mendicité de manière licite. Il y a concours d'infractions, ce qui est un facteur d'aggravation (art. 49 CP cum art. 104 CP). 3.6. L'amende de CHF 300.-, fixée en première instance, sera confirmée, étant précisé que n'est pas considéré comme une modification au détriment du condamné l'acquittement sur un chef d'accusation en appel sans réduction correspondante de la peine prononcée en première instance (arrêt du Tribunal fédéral 6B_461/2018 du 24 janvier 2019 et 6B_145/2022 du 13 avril 2023 consid. 4.3). En effet, en dépit de l'acquittement partiel, cette quotité est adaptée à la culpabilité de l'appelant et adéquate pour sanctionner les huit occurrences, une peine de base de CHF 100.- augmentée de CHF 40.- à CHF 50.- pour chaque nouvelle occurrence, ayant été considérée comme appropriée par la CPAR (AARP/46/2024 du 30 janvier 2024 ; AARP/268/2024 du 5 août 2024). Le jugement entrepris sera confirmé sur ce point également. La peine privative de liberté de substitution fixée à trois jours par le premier juge, conforme à la loi, sera confirmée (art. 106 al. 2 CP). 3.7. L'appelant sollicite une exemption de peine (art. 52 CP). Les faits, au vu du nombre d'occurrences (sept récidives en quatre mois), n'apparaissent pas, quant à la faute de l'appelant et aux conséquences de ses agissements (mobilisation d'agents publics), d'une gravité significativement moindre que le cas typique du comportement réprimé, de sorte qu'il ne peut pas prétendre à être exempté de peine (ATF 138 IV 13 consid. 9). Il sied en effet de rappeler que l'application de l'art. 52 CP ne doit pas entrainer l'annulation de toutes sanctions liées à des infractions mineures prévues par le droit pénal, dont l'infraction de mendicité, sauf à vider celles-ci de leur substance. 4. 4.1. L'appelant, qui succombe en grande partie, supportera 90% des frais de la procédure d'appel, y compris un émolument d'arrêt CHF 300.-, tenant compte de sa situation personnelle (art. 425 et art 428 al. 1 CPP).</w:t>
      </w:r>
    </w:p>
    <w:p>
      <w:r>
        <w:t>- 15/17 - P/8810/2023</w:t>
      </w:r>
    </w:p>
    <w:p>
      <w:r>
        <w:t>Le solde demeurera à la charge de l'État. 4.2. Vu l'issue de la procédure d'appel, la répartition des frais de première instance sera confirmée, dans la mesure où l'acquittement, dont l'appelant bénéficie, n'a généré ni acte d'instruction particulier ni développement juridique ou factuel compliqué (art. 428 al. 3 CPP cum art. 426 al. 1 CPP). 5. 5.1. La décision sur les frais préjugeant de la question de l'indemnisation (ATF 144 IV 207 consid. 1.8.2 ; 137 IV 352 consid. 2.4.2), aucune indemnité ne sera allouée à l'appelant en lien avec la procédure préliminaire et de première instance (art. 429 al. 1 let. a CPP). 5.2. Il en va de même pour la procédure d'appel puisque, bien qu'enjoint par la CPAR de le faire, l'appelant n'a pas pris de conclusion en indemnisation, ce qui équivaut, selon la jurisprudence fédérale, à une renonciation tacite, faute d'avoir rempli son devoir de collaboration (ATF 146 IV 332 consid. 1.3). * * * * *</w:t>
      </w:r>
    </w:p>
    <w:p>
      <w:r>
        <w:t>- 16/17 - P/8810/2023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