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AARP/358/2018 vom 7. November 2018</w:t>
      </w:r>
    </w:p>
    <w:p>
      <w:r>
        <w:t>GE Cour de justice, 2018-11-07, FR</w:t>
      </w:r>
    </w:p>
    <w:p>
      <w:r>
        <w:rPr>
          <w:b/>
        </w:rPr>
        <w:t xml:space="preserve">Quelle: </w:t>
      </w:r>
      <w:r>
        <w:t>https://mcp.opencaselaw.ch/entscheid/ge_gerichte_AARP_358_2018</w:t>
      </w:r>
    </w:p>
    <w:p>
      <w:r>
        <w:t>FR: GE_GERICHTE AARP/358/2018 du 7 novembre 2018</w:t>
      </w:r>
    </w:p>
    <w:p>
      <w:r>
        <w:t>IT: GE_GERICHTE AARP/358/2018 del 7 novembre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 1.2.1 Si l'une des conditions d'exercice de l'action publique fait défaut, ce qui doit être examiné d'office et à tous les stades de la procédure,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 7 février 2013 ; G. PIQUEREZ / A. MACALUSO, Procédure pénale suisse, 3e éd., 2011, p. 537 n. 1553 et 1555).</w:t>
      </w:r>
    </w:p>
    <w:p>
      <w:r>
        <w:t>1.2.2 En l'espèce, la CPAR ne saurait suivre l'argumentation de l'appelant selon lequel le cas U______ doit être traité de la même manière que Q______ en première instance. Les cas ne sont pas comparables. Il ressort en effet du jugement de première instance que, pour U______, l'appelant a été reconnu coupable de vol par métier (art. 139 ch. 1 et 2 CP), alors même que son acquittement du chef de vol a été prononcé dans le cas Q______ (cf. supra let. A.a. partie "EN FAIT"). Comme le vol est une infraction poursuivie d'office pour laquelle le dépôt d'une plainte n'est pas une condition de poursuite, le cas U______ se différencie du cas Q______. Partant, il a lieu de rejeter l'appel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- 17/27 - P/16852/2016</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La culpabilité de l'appelant pour infraction à l'art. 115 al. 1 let. a et b LEtr n'a pas été remise en cause et est ainsi, d'ores et déjà, entrée en force (art. 402 CPP a contrario). Il en est de même des sept cas de cambriolage non contestés en appel (cf. supra partie "EN FAIT" let. A.d.b.).</w:t>
      </w:r>
    </w:p>
    <w:p>
      <w:r>
        <w:rPr>
          <w:b/>
        </w:rPr>
        <w:t>E. 3</w:t>
      </w:r>
    </w:p>
    <w:p>
      <w:r>
        <w:t>3.1.1 L'art. 139 ch. 1 CP réprime le comportement de celui qui, pour se procurer ou procurer à un tiers un enrichissement illégitime, aura soustrait une chose mobilière appartenant à autrui dans le but de se l'approprier. 3.1.2 L'auteur agit par métier au sens de l'art. 139 ch. 2 CP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Il n'est pas nécessaire que ses agissements constituent sa "principale activité professionnelle" ou qu'il les ait commis dans le cadre de sa profession ou de son entreprise légale. Une activité "accessoire" illicite peut aussi être exercée par métier (ATF 116 IV 319 consid. 4b p. 331). La tentative est absorbée par le délit consommé par métier lorsque l'auteur a commis plusieurs tentatives et des délits consommés (ATF 123 IV 113 consid. 2d). 3.1.3 Il est question de bande au sens de l'art. 139 ch. 3 CP lorsque deux ou plusieurs auteurs manifestent, expressément ou par actes concluants, la volonté de s'associer en vue de commettre un nombre déterminé ou non d'infractions. Cette qualification</w:t>
      </w:r>
    </w:p>
    <w:p>
      <w:r>
        <w:t>- 18/27 - P/16852/2016</w:t>
      </w:r>
    </w:p>
    <w:p>
      <w:r>
        <w:t>repose sur la dangerosité particulière qu'engendre l'association des auteurs, qui les renforce physiquement et psychiquement et laisse prévoir la commission d'une pluralité d'infractions (ATF 135 IV 158 consid. 2 p. 158 ; ATF 132 IV 132 consid. 5.2 p. 137 ; arrêt du Tribunal fédéral 6B_1145/2016 du 7 avril 2017). La notion de bande suppose un degré minimum d'organisation (p. ex. un partage des rôles et du travail) et une collaboration d'une intensité suffisante pour être à même de parler d'une équipe relativement stable et soudée, même si elle peut être éphémère (arrêt du Tribunal fédéral 6B_1015/2016 du 27 octobre 2017 consid. 5.3).</w:t>
      </w:r>
    </w:p>
    <w:p>
      <w:r>
        <w:rPr>
          <w:b/>
        </w:rPr>
        <w:t>E. 3.2</w:t>
      </w:r>
    </w:p>
    <w:p>
      <w:r>
        <w:t>L'art. 144 al. 1 CP punit, sur plainte, celui qui aura endommagé, détruit ou mis hors d'usage une chose appartenant à autrui ou frappée d'un droit d'usage ou d'usufruit au bénéfice d'autrui. Un dommage supérieur à CHF 10'000.- doit être qualifié de considérable au sens de l'art. 144 al. 3 CP (ATF 136 IV 117 consid. 4.3.1 ; 6B_375/2014 du 28 août 2014 consid. 2.5). En présence de dommages causés à plusieurs choses, appartenant à un ou plusieurs ayants droit, si la vision naturelle des choses et l'intention de l'auteur permettent de retenir une unité d'action, il faudra additionner les préjudices causés afin, le cas échéant, de fonder le dommage considérable (WEISSENBERGER, in Basler Kommentar, Strafrecht II, 3ème éd. 2013, n. 106 ad art. 144 CP).</w:t>
      </w:r>
    </w:p>
    <w:p>
      <w:r>
        <w:rPr>
          <w:b/>
        </w:rPr>
        <w:t>E. 3.3</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p. 85; 108 IV 33 consid. 5b p. 39). 3.4.1 La Cour de céans tient pour établi que l'appelant a été utilisateur du raccordement +41/1______ malgré ses dénégations. Le numéro de téléphone attribué à l'appelant a été obtenu par divers moyens mais notamment en effectuant des recoupements d'après son surnom ("AA______"), présent dans les répertoires téléphoniques de ses connaissances, dont dans celui de V______, ainsi que par des déclarations de tiers. C'est sans compter que l'appelant a finalement admis au cours des débats d'appel répondre au surnom "AA______". Un autre élément vient corroborer le lien entre l'appelant et le raccordement qui lui est attribué : dans les cas I______, D______ et N______, cambriolages dans lesquels l'appelant a été identifié grâce à son ADN, ce raccordement téléphonique a activé des antennes aux heures et dans les environs directs des cambriolages. Le fait que les bornes les plus proches des domiciles cambriolés n'aient pas systématiquement été les bornes activées n'est pas déterminant. La vérité est qu'on ne maîtrise pas la borne</w:t>
      </w:r>
    </w:p>
    <w:p>
      <w:r>
        <w:t>- 19/27 - P/16852/2016</w:t>
      </w:r>
    </w:p>
    <w:p>
      <w:r>
        <w:t>qu'on active. En revanche, il est notoire qu'on n'active pas toujours la borne la plus proche, en fonction des azimuts, de la (sur)charge du réseau et des obstacles sur le parcours. C'est sans compter que rien n'explique la présence de l'appelant dans ces quartiers excentrés, de nuit, alors qu'il vivait en France voisine. 3.4.2 Dans les cas K______ et U______, le cambrioleur a procédé par un modus operandi propre à l'appelant, ainsi que la police l'a décrit (escalade du balcon et bris de la fenêtre du salon par épaulée, pénétration par une porte-fenêtre ouverte). Les deux cambriolages ont eu lieu en soirée, entre 19h15 et 01h13. Dans les deux cas, le raccordement du prévenu a activé des bornes proches des lieux des cambriolages. Ainsi doit-on en conclure que ces deux éléments établissent la présence de l'appelant sur les lieux des cambriolages et, partant, sa culpabilité. 3.4.3 La Cour de céans fait sienne l'argument des juges de première instance concernant la crédibilité des déclarations de V______ quant à la participation de l'appelant au cas E______, ce au-delà de ses déclarations divergentes sur des points accessoires (qui des deux conservait le butin ? qui conduisait la moto ?). Au demeurant, la cessation d'activité du raccordement de l'appelant entre 21h23 et 23h09, soit pendant la tranche horaire où s'est déroulé le cambriolage, est de nature à renforcer la conviction quant à sa présence sur les lieux et sa participation au cambriolage, de la manière décrite par son comparse.</w:t>
      </w:r>
    </w:p>
    <w:p>
      <w:r>
        <w:rPr>
          <w:b/>
        </w:rPr>
        <w:t>E. 3.5</w:t>
      </w:r>
    </w:p>
    <w:p>
      <w:r>
        <w:t>Au vu de ce qui précède, rien ne fait obstacle à la culpabilité de l'appelant pour les trois cas contestés. Les preuves ont été apportées qu'il en était l'auteur, étant observé que l'appelant n'en était pas empêché par une incarcération aux dates visées.</w:t>
      </w:r>
    </w:p>
    <w:p>
      <w:r>
        <w:rPr>
          <w:b/>
        </w:rPr>
        <w:t>E. 3.6</w:t>
      </w:r>
    </w:p>
    <w:p>
      <w:r>
        <w:t>La circonstance aggravante de la bande est réalisée. En se déplaçant ensemble, en se partageant les tâches lors des cambriolages et le butin, en coordonnant leurs actes, notamment par des contacts téléphoniques lors des cambriolages communs, V______ et l'appelant ont collaboré de manière suffisamment organisée et coordonnée pour les cas où ils ont agi en commun. Au vu du nombre de cambriolages, du butin, du revenu réalisé et escompté, ainsi que de l'absence de tout revenu régulier, la circonstance aggravante du métier, qui n'est au demeurant pas contestée en appel, sera également retenue par la Cour de céans.</w:t>
      </w:r>
    </w:p>
    <w:p>
      <w:r>
        <w:rPr>
          <w:b/>
        </w:rPr>
        <w:t>E. 3.7</w:t>
      </w:r>
    </w:p>
    <w:p>
      <w:r>
        <w:t>Le tribunal de première instance a retenu l'aggravante du dommage considérable (art. 144 al. 3 CP) dans les cas K______ et G______ dans la mesure où les dégâts causés auraient dépassé le seuil de CHF 10'000.- retenu par la jurisprudence. En l'espèce, il ressort de l'ensemble des cas retenus à charge que les dommages à la propriété les plus importants sont ceux commis au détriment de G______. Si la victime les a estimés à plus de CHF 10'000.-, son assurance ne l'a remboursée qu'à</w:t>
      </w:r>
    </w:p>
    <w:p>
      <w:r>
        <w:t>- 20/27 - P/16852/2016</w:t>
      </w:r>
    </w:p>
    <w:p>
      <w:r>
        <w:t>concurrence d'un peu plus de CHF 8'000.-. Il n'y a de surcroît, pas d'unité d'action avec un autre cambriolage commis dans le même temps. La reconnaissance de l'aggravante de l'art. 144 CP pour le cas K______ résulte d'une confusion avec la valeur du butin, les dommages à la propriété n'ayant pas dépassé CHF 750.-. L'appel sera admis sur ce point, seuls les dommages à la propriété pouvant être mis à la charge de l'appelant.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En outre, les condamnations passées perdent de leur importance avec l'écoulement du temps. Lorsque le prévenu est condamné pour plusieurs infractions en première instance, puis qu'il est acquitté de certains chefs d'accusation en appel, sa faute est diminuée,</w:t>
      </w:r>
    </w:p>
    <w:p>
      <w:r>
        <w:t>- 21/27 - P/16852/2016</w:t>
      </w:r>
    </w:p>
    <w:p>
      <w:r>
        <w:t>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118 IV 18 consid. 1c/bb p. 21 ; ATF 117 IV 395 consid. 4 p. 397 ; arrêt du TF 6B_335/2016 du 24 janvier 2017 consid. 3.3.1 et les références ; cf. également arrêts du TF 6B_859/2013 du 2 octobre 2014 consid. 4.2 ; 6B_1066/2013 du 27 février 2014 consid. 5.2.1).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w:t>
      </w:r>
    </w:p>
    <w:p>
      <w:r>
        <w:t>Les nouvelles dispositions sur le droit des sanctions sont entrées en vigueur le 1er janvier 2018. Cette réforme marque globalement un durcissement. La durée minimale de la peine privative de liberté est désormais de trois jours (art. 40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espèce. L'ancien droit est donc opposable à l'appelant. 4.3.1 En l'espèce, la faute de l'appelant est importante. Il a agi par appât d'un gain facile, de manière égoïste et au mépris du patrimoine et de la sphère privée de nombreuses victimes sans égard aux conséquences patrimoniales et psychologiques de ses actes pour les lésés. Le prévenu a agi à réitérées reprises, selon un modus operandi bien rôdé consistant à pénétrer, en soirée ou de nuit, dans des villas ou des appartements accessibles, en forçant les fenêtres ou portes-fenêtres. Ses actes illicites se sont échelonnés sur plus d'une année. Il n'a pas non plus hésité à pénétrer à plusieurs reprises et sans droit sur le territoire suisse, pour y séjourner en y commettant des délits, ce qui témoigne d'un mépris pour la législation en vigueur. Les antécédents du prévenu démontrent qu'il s'est durablement installé dans la délinquance et qu'il persiste dans son activité illicite pour assurer son train de vie. Seule son arrestation en France a mis fin à ses agissements. Il y a concours d'infractions, facteur d'aggravation de la peine.</w:t>
      </w:r>
    </w:p>
    <w:p>
      <w:r>
        <w:t>- 22/27 - P/16852/2016</w:t>
      </w:r>
    </w:p>
    <w:p>
      <w:r>
        <w:t>La collaboration du prévenu a été médiocre, puisqu'il n'a admis une série de cambriolages qu'en raison de la présence de son ADN sur les lieux des infractions. Il a de surcroît passablement fluctué dans ses explications et persisté dans ses dénégations jusqu'à et y compris en appel pour la titularité du raccordement téléphonique le mettant en cause.</w:t>
      </w:r>
    </w:p>
    <w:p>
      <w:r>
        <w:t>Sa responsabilité pénale est pleine et entière, car rien ne permet de retenir, au vu de l'organisation et de l'intensité des actes, ainsi que de ses souvenirs parfois très précis, qu'il aurait été sous l'emprise de sa consommation de produits toxiques.</w:t>
      </w:r>
    </w:p>
    <w:p>
      <w:r>
        <w:t>Sa situation personnelle est certes précaire mais n'explique pas ses agissements, ce d'autant moins qu'il a pu, même sous statut illicite, travailler ici ou là.</w:t>
      </w:r>
    </w:p>
    <w:p>
      <w:r>
        <w:t>La prise de conscience de l'appelant est inexistante. Pour preuve le fait qu'il a déjà été condamné neuf fois en Suisse pour des faits de cambriolage et que les nombreuses peines déjà purgées ne l'ont pas détourné de son parcours délinquant. Ses antécédents sont mauvais, spécifiques et récents. Moins de quatre mois après sa sortie de prison le 24 février 2016, l'appelant a commis un cambriolage en juin 2016, alors qu'il avait entretemps été condamné à Zürich. La révocation de la libération conditionnelle dont l'appelant a bénéficié en 2015 s'impose à juste titre. 4.3.2 L'acquittement de l'appelant de l'aggravante de dommages à la propriété a certes pour effet de diminuer sa culpabilité, mais dans une mesure très réduite, seules deux occurrences étant concernées. Pour retenir une faute importante, la Cour de céans s’est en effet fondée sur des éléments – l'atteinte significative sur les victimes sur le plan psychologique, la réitération d'actes sur un modus operandi bien rôdé, la longue période pénale, l’intensité de la volonté délictuelle et le mobile – qui ne trouvent singulièrement pas leur fondement dans l’aggravante de l'art. 144 CP. C'est sans compter que les infractions à la LEtr y sont totalement étrangères, qu'il s'agisse de la présente procédure ou de celle conduite par le Ministère public de Zürich-Limmat. L’acquittement est aussi sans influence sur l’appréciation des autres éléments aggravants affectant ses actes, soit sa mauvaise collaboration, l’absence de regrets et le concours d’infractions.</w:t>
      </w:r>
    </w:p>
    <w:p>
      <w:r>
        <w:t>Compte tenu de l'ensemble de ces éléments, rien ne justifie que la déqualification des dommages à la propriété soit suivie d'un effet sur la peine. C'est le lieu de dire que la peine privative de liberté d'ensemble arrêtée à 3 ans et demi par les premiers juges respecte en tous points les critères posés par l'art. 47 CP et qu'elle doit ainsi être tenue pour adéquate. Elle sera en conséquence confirmée, ce d'autant plus que le principe d'une peine d'ensemble répond aux réquisits de l'art. 89 al. 6 CP.</w:t>
      </w:r>
    </w:p>
    <w:p>
      <w:r>
        <w:t>- 23/27 - P/16852/2016</w:t>
      </w:r>
    </w:p>
    <w:p>
      <w:r>
        <w:rPr>
          <w:b/>
        </w:rPr>
        <w:t>E. 5</w:t>
      </w:r>
    </w:p>
    <w:p>
      <w:r>
        <w:t>L'expulsion prononcée à l'encontre de l'appelant n'est pas contestée. Elle sera confirmée, dans la mesure où elle respecte les principes posés par l'art. 66a CP, aucune des exceptions posées par le deuxième alinéa de cette disposition n'étant réalisée.</w:t>
      </w:r>
    </w:p>
    <w:p>
      <w:r>
        <w:rPr>
          <w:b/>
        </w:rPr>
        <w:t>E. 6</w:t>
      </w:r>
    </w:p>
    <w:p>
      <w:r>
        <w:t>Les motifs ayant conduit les premiers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7</w:t>
      </w:r>
    </w:p>
    <w:p>
      <w:r>
        <w:t>L'appelant, qui succombe sinon sur un point accessoire, supportera les frais de la procédure d'appel envers l'État (art. 428 CPP) à hauteur de 9/10ème, lesquels comprennent un émolument de jugement de CHF 3'000.-.</w:t>
      </w:r>
    </w:p>
    <w:p>
      <w:r>
        <w:t>En vertu de l'art. 428 al. 3 CPP, l'autorité de recours se prononce également sur les frais fixés par l'autorité inférieure lorsqu'elle rend elle-même une nouvelle décision. Compte tenu de la légère diminution de la culpabilité, il se justifie de réduire les frais de procédure en première instance à charge de l'appelant dans la même mesure, soit de 1/10ème.</w:t>
      </w:r>
    </w:p>
    <w:p>
      <w:r>
        <w:rPr>
          <w:b/>
        </w:rPr>
        <w:t>E. 8.1</w:t>
      </w:r>
    </w:p>
    <w:p>
      <w:r>
        <w:t>Les frais imputables à la défense d'office 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dans sa nouvelle mouture, étant précisé que le Conseil d'Etat a édicté un nouveau règlement dont l'entrée en vigueur a été fixée au 1er octobre 2018.</w:t>
      </w:r>
    </w:p>
    <w:p>
      <w:r>
        <w:t>Le nouveau règlement prescrit que l'indemnité, en matière pénale, est calculée selon le tarif horaire de CHF 110.- pour l'activité d'un avocat stagiaire, débours de l'étude inclus (cf. décision de la Cour des plaintes du Tribunal pénal fédéral BB.2013.127 du 4 décembre 2013 consid. 3/4.2-4.4). En cas d'assujettissement, l'équivalent de la TVA est versé en sus.</w:t>
      </w:r>
    </w:p>
    <w:p>
      <w:r>
        <w:t>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- 24/27 - P/16852/2016</w:t>
      </w:r>
    </w:p>
    <w:p>
      <w:r>
        <w:t>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Sont en principe aussi inclus dans le forfait d'autres documents ne nécessitant pas ou peu de motivation ou autre investissement particulier en termes de travail juridique, telle la déclaration d'appel, qui n'a pas à être motivée (décisions de la Cour des plaintes du Tribunal pénal fédéral BB.2014.51 du 21 novembre 2014 consid. 2.1 et BB.2013.165 du 24 janvier 2014 consid. 4.1.3). 8.2.4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Palais de justice est arrêtée à CHF 55.- pour l'avocat-stagiaire, dite rémunération étant allouée d'office par la juridiction d'appel pour les débats devant elle.</w:t>
      </w:r>
    </w:p>
    <w:p>
      <w:r>
        <w:rPr>
          <w:b/>
        </w:rPr>
        <w:t>E. 8.3</w:t>
      </w:r>
    </w:p>
    <w:p>
      <w:r>
        <w:t>En l'occurrence, l'état de frais déposé par le défenseur d'office est adéquat, sous réserve du temps passé à la rédaction de la déclaration d'appel (5 heures). Celle-ci, qui n'a pas à être motivée, est en effet incluse dans le forfait et ne sera dès lors pas rémunérée en tant que poste séparé. En conclusion, l'indemnité sera arrêtée à CHF 1'455.90, correspondant à 10 heures et 45 minutes d'activité au tarif de CHF 110.-/heure, au forfait de 10% (CHF 118.25), au forfait vacation de CHF 55.- admis par la CPAR et à la TVA au taux de 7.7% (CHF 100.15).</w:t>
      </w:r>
    </w:p>
    <w:p>
      <w:r>
        <w:t>* * * * *</w:t>
      </w:r>
    </w:p>
    <w:p>
      <w:r>
        <w:t>- 25/27 - P/16852/2016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