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AARP/358/2016 vom 12. September 2016</w:t>
      </w:r>
    </w:p>
    <w:p>
      <w:r>
        <w:t>GE Cour de justice, 2016-09-12, FR</w:t>
      </w:r>
    </w:p>
    <w:p>
      <w:r>
        <w:rPr>
          <w:b/>
        </w:rPr>
        <w:t xml:space="preserve">Quelle: </w:t>
      </w:r>
      <w:r>
        <w:t>https://mcp.opencaselaw.ch/entscheid/ge_gerichte_AARP_358_2016</w:t>
      </w:r>
    </w:p>
    <w:p>
      <w:r>
        <w:t>FR: GE_GERICHTE AARP/358/2016 du 12 septembre 2016</w:t>
      </w:r>
    </w:p>
    <w:p>
      <w:r>
        <w:t>IT: GE_GERICHTE AARP/358/2016 del 12 settembre 2016</w:t>
      </w:r>
    </w:p>
    <w:p>
      <w:pPr>
        <w:pStyle w:val="Heading2"/>
      </w:pPr>
      <w:r>
        <w:t>Erwägungen</w:t>
      </w:r>
    </w:p>
    <w:p>
      <w:r>
        <w:rPr>
          <w:b/>
        </w:rPr>
        <w:t>E. 1.1</w:t>
      </w:r>
    </w:p>
    <w:p>
      <w:r>
        <w:t>La CPAR est l'autorité compétente en matière de révision à compter du 1er janvier 2011 (art. 21 al. 1 let. b CPP cum art. 130 al. 1 let. a de la loi d'organisation judiciaire [LOJ ; E 2 05]).</w:t>
      </w:r>
    </w:p>
    <w:p>
      <w:r>
        <w:rPr>
          <w:b/>
        </w:rPr>
        <w:t>E. 1.2</w:t>
      </w:r>
    </w:p>
    <w:p>
      <w:r>
        <w:t>La demande de révision a été dûment déposée devant la CPAR conformément à l'art. 411 al. 1 et 2 dernière phrase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 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w:t>
      </w:r>
    </w:p>
    <w:p>
      <w:r>
        <w:t>- 4/7 - P/10378/2016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Une révision ne doit pas servir à remettre sans cesse en cause une décision entrée en force, à détourner les dispositions légales sur les délais de recours ou celles sur la restitution desdits délais (…) (ATF 130 IV 72 consid. 2.2. p. 74).</w:t>
      </w:r>
    </w:p>
    <w:p>
      <w:r>
        <w:rPr>
          <w:b/>
        </w:rPr>
        <w:t>E. 2.2</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A. MACALUSO, Procédure pénale suisse, 3ème édition, Zurich 2011, n. 2108). L'examen préalable sert avant tout à constater si les motifs invoqués à l'appui de la demande en révision sont vraisemblables (Message précité, 1057 ss notamment 1305 ad ancien art. 419 - actuel 412 CPP ; A. DONATSCH / T. HANSJAKOB / V. LIEBER (éds), Kommentar zur Schweizerischen Strafprozess- ordnung (StPO), Zurich 2010, n. 1 art. 412).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 A. KUHN / Y. JEANNERET (éds.), op. cit., n. 3 ad art. 412).</w:t>
      </w:r>
    </w:p>
    <w:p>
      <w:r>
        <w:rPr>
          <w:b/>
        </w:rPr>
        <w:t>E. 2.3</w:t>
      </w:r>
    </w:p>
    <w:p>
      <w:r>
        <w:t>Le requérant n'a pas présenté dans le délai imparti les explications utiles à l'appui de ses dénégations, tant pour la phase initiale devant le SDC que pour celle de recours. Il n'a réagi que tardivement à la notification de l'ordonnance pénale du SDC, attendant un rappel de paiement pour faire connaître son opposition. Le requérant a de la même manière recouru tardivement contre la décision du SDC, ne tenant pas</w:t>
      </w:r>
    </w:p>
    <w:p>
      <w:r>
        <w:t>- 5/7 - P/10378/2016 compte du temps nécessaire au traitement d'un envoi entre deux pays certes limitrophes mais néanmoins étrangers. Le requérant ne saurait par le biais d'une demande de révision suppléer à ses propres carences, ce d'autant moins qu'aucun des arguments qu'il invoque n'est nouveau, les pièces censées documenter son innocence étant par ailleurs identiques à celles déjà produites devant la CPR. Les faits et les moyens de preuve dont se prévaut le requérant ne constituent donc pas des res nova. Au demeurant, les pièces produites n'avaient pas à être traitées par la CPR eu égard à l'irrecevabilité du recours, sans compter qu'elles ne présentent pas un caractère décisif. La requête tendant à obtenir une photographie du véhicule amendé n'avait pas davantage à être traitée puisque l'opposition a été jugée tardive en tout état. Les conditions nécessaires pour ouvrir une procédure de révision n'étant pas données, il n’y a pas lieu d’entrer en matière sur la présente requête qui sera déclarée irrecevable, au sens de l’art. 412 al. 2 CPP.</w:t>
      </w:r>
    </w:p>
    <w:p>
      <w:r>
        <w:rPr>
          <w:b/>
        </w:rPr>
        <w:t>E. 3</w:t>
      </w:r>
    </w:p>
    <w:p>
      <w:r>
        <w:t>Le requérant, qui succombe, supportera les frais de la procédure envers l'Etat (art. 428 al. 1 CPP a contrario), lesquels comprennent une indemnité réduite à CHF 500.- (art. 14 al. 1 let. e du règlement fixant le tarif des frais en matière pénale, E 4 10.03). * * * * *</w:t>
      </w:r>
    </w:p>
    <w:p>
      <w:r>
        <w:t>- 6/7 - P/10378/2016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