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AARP/358/2015 vom 25. August 2015</w:t>
      </w:r>
    </w:p>
    <w:p>
      <w:r>
        <w:t>GE Cour de justice, 2015-08-25, FR</w:t>
      </w:r>
    </w:p>
    <w:p>
      <w:r>
        <w:rPr>
          <w:b/>
        </w:rPr>
        <w:t xml:space="preserve">Quelle: </w:t>
      </w:r>
      <w:r>
        <w:t>https://mcp.opencaselaw.ch/entscheid/ge_gerichte_AARP_358_2015</w:t>
      </w:r>
    </w:p>
    <w:p>
      <w:r>
        <w:t>FR: GE_GERICHTE AARP/358/2015 du 25 août 2015</w:t>
      </w:r>
    </w:p>
    <w:p>
      <w:r>
        <w:t>IT: GE_GERICHTE AARP/358/2015 del 25 agosto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- 10/18 - P/2713/2014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2.1.2. Le droit du prévenu de faire poser des questions à un témoin à charge, ancré aux art. 6 ch. 3 let. d CEDH et 147 al. 1 CPP, est absolu lorsque la déposition de cette personne constitue une preuve décisive (ATF 129 I 151 consid. 3.1 ; 125 I 127 consid. 6c/dd ; arrêt du Tribunal fédéral 6B_22/2012 du 25 mai 2012, consid. 3.1 et 3.2). Lorsqu'il n'est plus possible de faire procéder à une audition contradictoire (art. 147 al. 3 CPP), par exemple en raison du décès du comparant, de son expulsion du territoire ou de l'impossibilité de le retrouver malgré des recherches, la première audition pourra être prise en considération alors même que l'accusé n'aurait pas eu l'occasion de faire interroger l'auteur à son propos, à la condition, toutefois, que la déposition soit soumise à un examen attentif, que l'accusé puisse prendre position sur</w:t>
      </w:r>
    </w:p>
    <w:p>
      <w:r>
        <w:t>- 11/18 - P/2713/2014 celle-ci et que le verdict de culpabilité ne soit pas fondé sur cette seule preuve (ATF 124 I 274 consid. 5b ; arrêt du Tribunal fédéral 6B_22/2012 précité ; CourEDH, arrêt Artner c. Autriche du 28.8.1992, série A n° 242, § 21). 2.1.3. Se rend coupable de brigandage celui qui aura commis un vol en usant de violence à l’égard d’une personne, en la menaçant d’un danger imminent pour la vie ou l’intégrité corporelle ou en la mettant hors d’état de résister (art. 140 ch. 1 al. 1 CP). 2.1.4. L'auteur n'est pas punissable si, au moment d'agir, il ne possédait pas la faculté d'apprécier le caractère illicite de son acte ou de se déterminer d'après cette appréciation (art. 19 al. 1 CP). Lorsqu’un individu est reconnu irresponsable, il doit être affranchi de toute culpabilité et de toute peine, sous réserve du prononcé d’une mesure au sens de l’art. 19 al. 3 CP (M. DUPUIS / B. GELLER / G. MONNIER / L. MOREILLON / C. PIGUET / C. BETTEX / D. SOLL (éd.), Code pénal, Petit commentaire, Bâle 2012, n. 10 ad art. 19).</w:t>
      </w:r>
    </w:p>
    <w:p>
      <w:r>
        <w:rPr>
          <w:b/>
        </w:rPr>
        <w:t>E. 2.2</w:t>
      </w:r>
    </w:p>
    <w:p>
      <w:r>
        <w:t>A titre liminaire, il doit être rappelé que l’épisode contesté par l’appelant et qualifié de brigandage par le Ministère public doit être mis en relation avec les faits décrits sous chiffre VIII.9 de la demande du Ministère public du 7 novembre 2014 et durant lesquels l’appelant aurait, en substance, agrippé puis détruit le parapluie de B______. Ces deux événements s’inscrivent dans le même complexe de faits, étant précisé que l’appelant ne conteste pas, à juste titre, la réalisation de ce dernier épisode. Pour le surplus, les autres faits relatés dans la demande du Ministère public ne sont plus discutés au stade de l’appel. La décision des premiers juges relative à ceux-ci ne paraissant pas inéquitable, aucune raison ne commande que l’on revienne dessus, si ce n’est pour constater, s’agissant des faits listés sous let. B.I.1., B.II.3., B.IV.5., B.V.6. et B.VI.7., qu’ils sont des délits. Il est acquis que l’appelant et la partie plaignante se trouvaient, le soir du 15 février 2014, à la rue N______. La police, une fois arrivée sur les lieux, a constaté leur présence, appréhendé l’appelant et remarqué que B______ s’était débarrassée de son parapluie qui était inutilisable. Cependant, pour le reste, aucun témoignage, en particulier celui de M______ qui n’a pas été entendu, ne renforce la valeur probante des déclarations de la partie plaignante. Font également défaut un certificat médical ou une mention dans le rapport de police faisant état de marques de violence sur B______. De même, la police n’a pas été en mesure, malgré l’engagement de la brigade canine, de retrouver l’enveloppe que l’appelant aurait arrachée des mains de la plaignante. La perte d’un des billets participant au contenu de l’enveloppe et retrouvé par B______ n’est pas de nature à renforcer la crédibilité des faits rapportés, étant précisé que cela ne</w:t>
      </w:r>
    </w:p>
    <w:p>
      <w:r>
        <w:t>- 12/18 - P/2713/2014 ressort que de la plainte déposée. Il subsiste ainsi un doute sérieux et insurmontable quant aux éléments factuels décrits dans la plainte de B______. L’appelant n’a pas pu être confronté à la partie plaignante, dont la plainte est ainsi le seul fondement des faits reprochés et encore discutés. Il a répété, lorsqu’il était en mesure de saisir les questions posées, ne pas se souvenir des faits qui lui étaient reprochés, étant précisé que selon les médecins, son amnésie, bien qu’inhabituelle, ne pouvait être qualifiée sans autre de feinte. L’absence d’aveu ne saurait ainsi être mise à son passif. Par conséquent, les faits contenus dans la demande du Ministère public sous chiffre II.2 ne peuvent être tenus pour établis. Le jugement entrepris sera annulé sur ce point et réformé en conséquence, étant relevé que dans la mesure où aucun verdict de culpabilité n’est prononçable à l’égard de l’appelant, il ne saurait être question d’un acquittement, ce à quoi il conclut, au vu de son irresponsabilité patente et non contestée.</w:t>
      </w:r>
    </w:p>
    <w:p>
      <w:r>
        <w:rPr>
          <w:b/>
        </w:rPr>
        <w:t>E. 3</w:t>
      </w:r>
    </w:p>
    <w:p>
      <w:r>
        <w:t>3.1.1.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concrétisation du principe de proportionnalité au sens étroit.</w:t>
      </w:r>
    </w:p>
    <w:p>
      <w:r>
        <w:t>3.1.2. En règle générale, le traitement institutionnel s'effectue dans un établissement psychiatrique approprié ou dans un établissement d'exécution des mesures (art. 59 al. 2 CP). La mesure thérapeutique de l'art. 59 CP vise avant tout "un impact thérapeutique dynamique", et donc à une amélioration du pronostic légal, et non la "simple administration statique et conservatoire" des soins (ATF 134 IV 315 consid.</w:t>
      </w:r>
    </w:p>
    <w:p>
      <w:r>
        <w:rPr>
          <w:b/>
        </w:rPr>
        <w:t>E. 3.2</w:t>
      </w:r>
    </w:p>
    <w:p>
      <w:r>
        <w:t>En l’espèce, il n’est pas contesté qu’une mesure thérapeutique institutionnelle au sens de l’art. 59 CP doive être ordonnée. En effet, l’appelant souffre d’un trouble affectif bipolaire (F31.0 selon les critères CIM 10) et dont les troubles caractéristiques en phase aiguë, tels que décrits par la O______, sont la violence, la désinhibition, l’irritabilité et les idées de persécution. A teneur de l’expertise du Département de santé mentale et de psychiatrie des HUG du 23 septembre 2014, il convenait de procéder par étape afin de ne pas faire échouer le traitement de l’appelant. Le risque de récidive était important, l’appelant refusant d’admettre sa maladie et, a fortiori, toute médication ou suivi. Au vu de l’ampleur du travail thérapeutique et de l’absence d’esprit critique de l’appelant quant à ses actes, un traitement en milieu institutionnel fermé, comprenant un travail psychiatrique intensif (art. 59 al. 3 CP) était tout indiqué. Dans un deuxième temps, et après quelques mois, il était envisageable de poursuivre le traitement en milieu ouvert. Force est de constater qu’entre le moment de la reddition de l’expertise et l’établissement du rapport médico-psychologique du 5 juin 2015, l’appelant se trouve apparemment précisément dans la deuxième phase décrite dans le rapport d’expertise. Son humeur est globalement stable et son agressivité a diminué, ceci</w:t>
      </w:r>
    </w:p>
    <w:p>
      <w:r>
        <w:t>- 14/18 - P/2713/2014 grâce à un traitement adapté permettant l’acceptation par celui-ci de sa maladie. En définitive, l’évolution médicale de l’appelant est favorable et le traitement en milieu institutionnel fermé semble actuellement avoir atteint ses limites. La situation médicale de l’appelant n’ayant jamais été prise en charge jusqu’à présent, il est permis de croire aux chances de succès du traitement, lesquelles seraient toutefois mises à mal par l’absence de moyens à disposition à Champ-Dollon, respectivement l’absence de place à Curabilis. L’évolution favorable de cette situation découle clairement des traitements thérapeutique et médicamenteux (neuroleptique sous forme dépôt) en place, tout comme l’abstinence à tous toxiques, en particulier le cannabis, soit trois paramètres qui doivent absolument perdurer. S’agissant en particulier des toxiques, il convient de mettre en place des contrôles réguliers, mais aussi aléatoires de l’abstinence de l’appelant, lesquels seront ordonnés, conjointement à une interdiction de consommation. A ces strictes conditions et dans le respect du principe de proportionnalité, il convient d’ordonner le transfert de l’appelant en milieu ouvert (art. 59 al. 2 CP). Le jugement querellé sera réformé en conséquence.</w:t>
      </w:r>
    </w:p>
    <w:p>
      <w:r>
        <w:rPr>
          <w:b/>
        </w:rPr>
        <w:t>E. 3.6</w:t>
      </w:r>
    </w:p>
    <w:p>
      <w:r>
        <w:t>p. 323 ss ; arrêt du Tribunal fédéral 6B_778/2013 du 10 février 2014 consid. 2.4.1). Toutefois, il sera rappelé que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p. 204 ; arrêt du Tribunal fédéral 6B_778/2013 du 10 février 2014 consid. 2.4.1).</w:t>
      </w:r>
    </w:p>
    <w:p>
      <w:r>
        <w:t>3.1.3. L'art. 59 al. 3 CP prévoit que, tant qu'il existe un risque de fuite ou de récidive, le traitement doit être exécuté dans un établissement fermé ; il peut aussi être effectué dans un établissement pénitentiaire au sens de l'art. 76 al. 2 CP, dans la</w:t>
      </w:r>
    </w:p>
    <w:p>
      <w:r>
        <w:t>- 13/18 - P/2713/2014 mesure où le traitement thérapeutique nécessaire est assuré par du personnel qualifié (art. 59 al. 3 2e phrase CP).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(arrêts du Tribunal fédéral 6B_1045/2013 précité, 6B_205/2012 du 27 juillet 2012 consid. 3.2.2, 6B_384/2010 précité et 6B_629/2009 précité). 3.1.4.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 juge n'est en principe pas lié par les conclusions d'une expertise judiciaire ; toutefois, s'il entend s'en écarter, il doit motiver sa décision et ne saurait sans motifs sérieux substituer son opinion à celle de l'expert (ATF 119 Ib 254 consid. 8a p. 274 ; 118 Ia 144 consid. 1c ; 107 IV 7 consid. 5 ; 102 IV 225 consid. 7b ; 101 IV 129 consid. 3a et les références citées ; voir aussi ATF 125 V 353 consid. 3b/bb ; 122 V 157 consid. 1c p. 161).</w:t>
      </w:r>
    </w:p>
    <w:p>
      <w:r>
        <w:rPr>
          <w:b/>
        </w:rPr>
        <w:t>E. 4</w:t>
      </w:r>
    </w:p>
    <w:p>
      <w:r>
        <w:t>La renonciation des premiers juges à révoquer le sursis octroyé le 22 août 2013 par le Ministère public est acquise en vertu du principe de l'interdiction de la reformatio in pejus.</w:t>
      </w:r>
    </w:p>
    <w:p>
      <w:r>
        <w:rPr>
          <w:b/>
        </w:rPr>
        <w:t>E. 5</w:t>
      </w:r>
    </w:p>
    <w:p>
      <w:r>
        <w:t>Les motifs ayant conduit les premiers juges à prononcer, par ordonnance séparée du</w:t>
      </w:r>
    </w:p>
    <w:p>
      <w:r>
        <w:rPr>
          <w:b/>
        </w:rPr>
        <w:t>E. 9</w:t>
      </w:r>
    </w:p>
    <w:p>
      <w:r>
        <w:t>mars 2015, le maintien de l'appelant, en détention pour des motifs de sûreté sont toujours d'actualité, ce que celui-ci ne conteste au demeurant pas, de sorte que la mesure sera reconduite mutatis mutandis (ATF 139 IV 277 consid. 2.2 à 2.3), jusqu’au moment de son transfert dans un établissement approprié. 6. Dans la mesure où l'appelant obtient gain de cause, les frais de la procédure d'appel seront laissés à charge de l'Etat (art. 428 CPP). 7. 7.1. Les frais imputables à la défense d’office et à l'assistance judiciaire gratuite sont des débours (art. 422 al. 2 let. a CPP) qui constituent des frais de procédure (art. 422 al. 1 CPP). 7.2.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w:t>
      </w:r>
    </w:p>
    <w:p>
      <w:r>
        <w:t>- 15/18 - P/2713/2014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Au regard de ce qui précède, la CPAR est compétente, au sens de l'art. 135 al. 2 CPP, pour statuer sur l'activité postérieure à sa saisine, soit le 2 avril 2015. 7.3.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L'indemnité est calculée selon le tarif horaire de CHF 200.- pour un chef d'étude, débours de l'étude inclus, hors TVA (art. 16 al. 1 RAJ).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Selon l'art. 399 CPP, il n'est pas nécessaire de motiver la déclaration d'appel, la motivation pouvant être présentée à un stade ultérieur de la procédure, de sorte que le défenseur d'office qui motive sa déclaration d'appel accomplit des démarches qui ne sont pas nécessaires et qui n'ont pas à être indemnisées (ordonnance de la Cour des plaintes du Tribunal pénal fédéral BB.2014.51 du 21 novembre 2014 consid. 2.1). 7.4. En l’espèce, Me B______ a été nommé défenseur d’office de l’appelant par ordonnance du 16 février 2014.</w:t>
      </w:r>
    </w:p>
    <w:p>
      <w:r>
        <w:t>- 16/18 - P/2713/2014 La note d’honoraires comporte 590 minutes d’activité. Toutefois, le poste « Conférence avec le client à la prison Champ-Dollon » comptant 90 minutes sera écarté pour être antérieur à la saisine de la CPAR. De même, le poste « Etude du dossier, déclaration d’appel motivée et réquisitions de preuves motivées » comptant 140 minutes est excessif et sera ramené à 30 minutes. D’une part, le défenseur d’office de l’appelant a déjà passé 11 heures et 50 minutes à étudier le dossier durant la procédure préliminaire, respectivement de première instance. D’autre part, la rédaction de la déclaration d'appel constitue une prestation incluse dans la majoration forfaitaire pour l'activité diverse.</w:t>
      </w:r>
    </w:p>
    <w:p>
      <w:r>
        <w:t>Le temps consacré pour « Etude du dossier, mémoire d’appel motivé » est excessif et sera ramené à 270 minutes. Le mémoire d’appel rappelle et paraphrase, sur neuf pages et inutilement, les actes de la procédure préliminaire, les considérants du jugement du Tribunal correctionnel, les bases légales topiques et les termes du rapport médical demandé par la CPAR. Il convient également de ne pas indemniser une nouvelle étude du dossier, la seule nouvelle pièce versée à la procédure au stade de l’appel étant le rapport susmentionné, dont la lecture ne nécessite pas une réétude complète de la procédure.</w:t>
      </w:r>
    </w:p>
    <w:p>
      <w:r>
        <w:t>Pour le surplus, l’activité exercée par Me B______ pour la défense des intérêts de l’appelant est en adéquation avec la nature, l'importance et la difficulté de la cause. En définitif, il sera retenu 300 minutes d’activité pour un chef d’étude, représentant 5 heures, au tarif horaire de CHF 200.-, correspondant à une indemnité de base de CHF 1'000.-. Il convient d'ajouter au montant précité l'indemnisation forfaitaire de 20%, soit CHF 200.-. L'indemnisation sera dès lors accordée à hauteur de CHF 1'200.- (TVA de 8% [CHF 96.-] comprise). * * * * *</w:t>
      </w:r>
    </w:p>
    <w:p>
      <w:r>
        <w:t>- 17/18 - P/2713/2014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