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AARP/356/2020 vom 28. Oktober 2020</w:t>
      </w:r>
    </w:p>
    <w:p>
      <w:r>
        <w:t>GE Cour de justice, 2020-10-28, FR</w:t>
      </w:r>
    </w:p>
    <w:p>
      <w:r>
        <w:rPr>
          <w:b/>
        </w:rPr>
        <w:t xml:space="preserve">Quelle: </w:t>
      </w:r>
      <w:r>
        <w:t>https://mcp.opencaselaw.ch/entscheid/ge_gerichte_AARP_356_2020</w:t>
      </w:r>
    </w:p>
    <w:p>
      <w:r>
        <w:t>FR: GE_GERICHTE AARP/356/2020 du 28 octobre 2020</w:t>
      </w:r>
    </w:p>
    <w:p>
      <w:r>
        <w:t>IT: GE_GERICHTE AARP/356/2020 del 28 ottobre 2020</w:t>
      </w:r>
    </w:p>
    <w:p>
      <w:pPr>
        <w:pStyle w:val="Heading2"/>
      </w:pPr>
      <w:r>
        <w:t>Erwägungen</w:t>
      </w:r>
    </w:p>
    <w:p>
      <w:r>
        <w:rPr>
          <w:b/>
        </w:rPr>
        <w:t>E. 1.1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1.2</w:t>
      </w:r>
    </w:p>
    <w:p>
      <w:r>
        <w:t>En l'espèce, il résulte des conclusions prises par l'appelant dans son mémoire d'appel qu'il ne conteste plus sa culpabilité en relation avec l'infraction de rupture de ban durant la période du 12 janvier au 16 mars 2020. Seule la peine fait ainsi l'objet des débats d'appel.</w:t>
      </w:r>
    </w:p>
    <w:p>
      <w:r>
        <w:rPr>
          <w:b/>
        </w:rPr>
        <w:t>E. 2.1</w:t>
      </w:r>
    </w:p>
    <w:p>
      <w:r>
        <w:t>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 6B_173/2013 du 19 août 2013 consid. 1.4). Le Tribunal fédéral a déduit de la jurisprudence européenne que la Directive sur le retour n'est pas applicable, en vertu de son art. 2 par. 2 let. b, aux ressortissants des pays tiers ayant commis, outre le séjour irrégulier, un ou plusieurs autres délits en dehors du droit pénal sur les étrangers. En particulier, en cas de concours avec le non-respect d'une interdiction de pénétrer dans une région déterminée (art. 119 al. 1 LEI), si cette mesure vise à protéger la sécurité et l'ordre public (art. 74 al. 1 let. a LEI), elle est soustraite du champ d'application de la Directive sur le retour (ATF 143 IV 264 consid. 2.4 et 2.6).</w:t>
      </w:r>
    </w:p>
    <w:p>
      <w:r>
        <w:rPr>
          <w:b/>
        </w:rPr>
        <w:t>E. 2.2</w:t>
      </w:r>
    </w:p>
    <w:p>
      <w:r>
        <w:t>En l'espèce, le prévenu s'est rendu coupable d'un délit de rupture de ban, soit une infraction contre l'autorité publique, qui ne ressortit pas à la législation sur les étrangers ni ne se borne à sanctionner un séjour irrégulier. Elle réprime l'irrespect d'une mesure d'expulsion, elle-même prononcée en raison de la commission de crimes ou délits (cf. art. 66a et 66abis CP). Elle a ainsi pour but de protéger l'ordre public, étant destinée à garantir l'exécution de décisions d'expulsion et constituant une forme particulière d'insoumission à une décision de l'autorité (M. DUPUIS / L. MOREILLON / C. PIGUET / S. BERGER / M. MAZOU / V. RODIGARI (éds), Code pénal - Petit commentaire, 2ème éd., Bâle 2017, n. 2 ad art. 291 CP).</w:t>
      </w:r>
    </w:p>
    <w:p>
      <w:r>
        <w:t>Le prévenu n'est donc pas soumis à la Directive sur le retour dans le cas présent. Il se prévaut vainement de son art. 2 par. 2 let. b, puisque le Tribunal fédéral en a précisément déduit la non-application en présence d'un autre délit que le séjour illégal. Le prévenu ne peut rien tirer non plus du point 8.2 des Directives LEI. Selon celles-ci, le législateur suisse n'a certes pas décidé de manière générale d'exclure l'application de la Directive sur le retour aux ressortissants de pays tiers faisant</w:t>
      </w:r>
    </w:p>
    <w:p>
      <w:r>
        <w:t>- 6/11 - P/9330/2020 l'objet d'une sanction pénale, mais prévu des dispositions y dérogeant notamment dans le code pénal.</w:t>
      </w:r>
    </w:p>
    <w:p>
      <w:r>
        <w:t>Le prononcé d'une peine privative de liberté ne viole ainsi pas le droit international.</w:t>
      </w:r>
    </w:p>
    <w:p>
      <w:r>
        <w:rPr>
          <w:b/>
        </w:rPr>
        <w:t>E. 3</w:t>
      </w:r>
    </w:p>
    <w:p>
      <w:r>
        <w:t>La rupture de ban est passible d'une peine privative de liberté de trois ans au plus ou d'une peine pécuniaire (art. 291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w:t>
      </w:r>
    </w:p>
    <w:p>
      <w:r>
        <w:rPr>
          <w:b/>
        </w:rPr>
        <w:t>E. 3.2</w:t>
      </w:r>
    </w:p>
    <w:p>
      <w:r>
        <w:t>Sauf disposition contraire, la peine pécuniaire est de trois jours-amende au moins et ne peut excéder 180 jours-amende (art. 34 al. 1 CP).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w:t>
      </w:r>
    </w:p>
    <w:p>
      <w:r>
        <w:rPr>
          <w:b/>
        </w:rPr>
        <w:t>E. 3.3</w:t>
      </w:r>
    </w:p>
    <w:p>
      <w:r>
        <w:t>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t>- 7/11 - P/9330/2020</w:t>
      </w:r>
    </w:p>
    <w:p>
      <w:r>
        <w:rPr>
          <w:b/>
        </w:rPr>
        <w:t>E. 3.4</w:t>
      </w:r>
    </w:p>
    <w:p>
      <w:r>
        <w:t>En l'espèce, la faute de l'appelant est importante. Il a totalement ignoré la mesure d'expulsion pénale durant la période en cause alors qu'ayant expliqué avoir voulu se rendre en France le jour de son interpellation pour voir un ami, il faut en définitive retenir qu'il lui était loisible de quitter le territoire à tout moment. En situation irrégulière en Suisse depuis 2010, nonobstant une interdiction d'entrée notifiée le 26 février 2016 et l'expulsion du 23 mai 2018, son attitude témoigne d'un profond mépris de l'autorité, tout comme des règles régissant le séjour des étrangers. Qu'il ignorât l'existence d'une aide destinée aux étrangers souhaitant regagner leur pays d'origine n'est pas crédible ; cette circonstance fût-elle établie, elle ne constituerait au demeurant pas un fait justificatif. Il résulte de son comportement ainsi que de ses déclarations fluctuantes sur ses projets d'avenir qu'il n'a en réalité aucune intention de quitter la Suisse. Pour la même raison, ses explications selon lesquelles il solliciterait l'aide au retour à sa prochaine sortie de prison pour rentrer en Algérie, apparaissent n'être que de circonstance et ne sont pas dignes de foi. Il n'a ainsi manifesté aucune prise de conscience de sa faute ni aucun amendement. Ses antécédents pénaux sont nombreux et il a déjà été condamné à deux reprises spécifiquement pour rupture de ban. Au vu de ce qui précède, la peine prononcée par le premier juge est conforme au droit et sera confirmée. Une peine pécuniaire est exclue par les éléments mis en évidence ci-avant, en particulier l'importance de la faute et de la récidive, imposant que la peine soit d'une quotité supérieure à six mois. Elle ne serait en tout état pas envisageable au vu de l'absence manifeste d'effet dissuasif des peines précédemment prononcées, alors que l'intéressé avait déjà été privé de sa liberté. L'octroi du sursis n'entre pas en ligne de compte eu égard à la peine de plus de six mois prononcée contre le prévenu le 12 décembre 2018 et l'absence de circonstances particulièrement favorables.</w:t>
      </w:r>
    </w:p>
    <w:p>
      <w:r>
        <w:rPr>
          <w:b/>
        </w:rPr>
        <w:t>E. 4</w:t>
      </w:r>
    </w:p>
    <w:p>
      <w:r>
        <w:t>Les motifs ayant conduit le premier juge à prononcer, par ordonnance séparée du</w:t>
      </w:r>
    </w:p>
    <w:p>
      <w:r>
        <w:rPr>
          <w:b/>
        </w:rPr>
        <w:t>E. 6</w:t>
      </w:r>
    </w:p>
    <w:p>
      <w:r>
        <w:t>juillet 2020, le maintien de l'appelant en détention pour des motifs de sûreté sont toujours d'actualité, de sorte que la mesure sera reconduite mutatis mutandis (ATF 139 IV 277 consid. 2.2 à 2.3). 5. L'appelant, qui succombe, supportera les frais de la procédure envers l'Etat (art. 428 CPP), qui comprendront un émolument CHF 1'200.- (art. 14 al. 1 let. e du règlement fixant le tarif des frais en matière pénale [RTFMP - E 4 10.03]).</w:t>
      </w:r>
    </w:p>
    <w:p>
      <w:r>
        <w:rPr>
          <w:b/>
        </w:rPr>
        <w:t>E. 6.1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- 8/11 - P/9330/2020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6.2</w:t>
      </w:r>
    </w:p>
    <w:p>
      <w:r>
        <w:t>En l'occurrence, l'activité du défenseur d'office concernant l'entretien avec son client (0h30) et la rédaction du mémoire d'appel (6h) sera intégralement indemnisée, contrairement au temps consacré à la rédaction de la déclaration d'appel et à l'examen du jugement querellé, compris dans le forfait pour activités diverses.</w:t>
      </w:r>
    </w:p>
    <w:p>
      <w:r>
        <w:t>En conclusion, la rémunération sera arrêtée à CHF 1'680.-, correspondant à 6h30 d'activité au tarif de CHF 200.-/heure (CHF 1'300.-) plus la majoration forfaitaire de 20% (CHF 260.-) et l'équivalent de la TVA au taux de 7.7% en CHF 120.-. * * * * *</w:t>
      </w:r>
    </w:p>
    <w:p>
      <w:r>
        <w:t>- 9/11 - P/9330/2020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