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AARP/356/2017 vom 8. November 2017</w:t>
      </w:r>
    </w:p>
    <w:p>
      <w:r>
        <w:t>GE Cour de justice, 2017-11-08, FR</w:t>
      </w:r>
    </w:p>
    <w:p>
      <w:r>
        <w:rPr>
          <w:b/>
        </w:rPr>
        <w:t xml:space="preserve">Quelle: </w:t>
      </w:r>
      <w:r>
        <w:t>https://mcp.opencaselaw.ch/entscheid/ge_gerichte_AARP_356_2017</w:t>
      </w:r>
    </w:p>
    <w:p>
      <w:r>
        <w:t>FR: GE_GERICHTE AARP/356/2017 du 8 novembre 2017</w:t>
      </w:r>
    </w:p>
    <w:p>
      <w:r>
        <w:t>IT: GE_GERICHTE AARP/356/2017 del 8 novembre 2017</w:t>
      </w:r>
    </w:p>
    <w:p>
      <w:pPr>
        <w:pStyle w:val="Heading2"/>
      </w:pPr>
      <w:r>
        <w:t>Erwägungen</w:t>
      </w:r>
    </w:p>
    <w:p>
      <w:r>
        <w:rPr>
          <w:b/>
        </w:rPr>
        <w:t>E. 1</w:t>
      </w:r>
    </w:p>
    <w:p>
      <w:r>
        <w:t>La CPAR est l'autorité compétente en matière d'appel à compter du 1er janvier 2011 (art. 21 al. 1 let. a CPP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2</w:t>
      </w:r>
    </w:p>
    <w:p>
      <w:r>
        <w:t>Le MP conclut à l'irrecevabilité de l'appel. 2.1.1. A teneur de l'art. 406 al. 1 let. c CPP, la juridiction d'appel ne peut traiter l'appel en procédure écrite que si le jugement de première instance ne porte que sur des contraventions et que l'appel ne porte pas sur une déclaration de culpabilité pour un crime ou un délit. Selon l'art. 406 al. 3 CPP, la direction de la procédure fixe à la partie qui a déclaré l'appel ou l'appel joint un délai pour déposer un mémoire d'appel motivé.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Il peut s'agir de tout moyen, déjà au dossier ou nouveau, susceptible d'avoir une influence sur le sort du litige (ACPR/47/2013 du</w:t>
      </w:r>
    </w:p>
    <w:p>
      <w:r>
        <w:rPr>
          <w:b/>
        </w:rPr>
        <w:t>E. 2.2</w:t>
      </w:r>
    </w:p>
    <w:p>
      <w:r>
        <w:t>En l'espèce, A______ attaque le jugement dans son ensemble et demande son acquittement, tout en prenant des conclusions en réparation. Ses conclusions sont donc limpides. A l'appui de celles-ci, il évoque que le jugement est basé sur de faux faits tout en relevant des contradictions dans le témoignage des agents et l'absence de preuves. Il n'expose certes pas précisément sur quels points portent les contradictions mais il sied de relever que l'appelant agit en personne et que l'on peut se montrer moins strict que si l'écrit provenait d'une personne de formation juridique. L'on comprend néanmoins de son court écrit que l'appelant se plaint, en droit, d'une constatation incomplète ou erronée des faits par le premier juge dès lors qu'il relève que le jugement est basé sur de faux faits. Cette motivation n'est certes pas très élaborée, mais suffit à identifier le motif de sa contestation, l'autorité de céans étant appelée à appliquer le droit d'office. L'appel est ainsi recevable. 3. 3.1.1.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2ème phrase CPP). Il s'agit là d'une exception au principe du plein pouvoir de cognition de l'autorité de deuxième instance qui conduit à qualifier d'appel « restreint » cette voie de droit (arrêt du Tribunal fédéral</w:t>
      </w:r>
    </w:p>
    <w:p>
      <w:r>
        <w:t>- 8/15 - P/20550/2016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3.1.2.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6B_1150/2014 du 19 novembre 2015 consid. 2 et les références citées).</w:t>
      </w:r>
    </w:p>
    <w:p>
      <w:r>
        <w:t>3.1.3. L'art. 90 al. 1 LCR prévoit que celui qui viole les règles de la circulation prévues par la présente loi ou par les dispositions d'exécution émanant du Conseil fédéral est puni de l'amende.</w:t>
      </w:r>
    </w:p>
    <w:p>
      <w:r>
        <w:t>A teneur de l'art. 217 al. 1 OETV, les cycles doivent être équipés à demeure, au minimum, de deux catadioptres dirigés l’un vers l’avant, l’autre vers l’arrière, dont la plage éclairante doit avoir une surface d’au moins 10 cm2. De nuit, par temps clair, ces catadioptres doivent être visibles à une distance de 100 m dans le faisceau des feux de route d’un véhicule automobile. Selon l'art. 218 al. 2 aOETV, en vigueur jusqu'au 15 janvier 2017, les cycles doivent être munis d’une sonnette bien perceptible, à l’exception des cycles dont le poids sans conducteur n’excède pas 11 kg ; les autres dispositifs avertisseurs sont interdits.</w:t>
      </w:r>
    </w:p>
    <w:p>
      <w:r>
        <w:t>3.1.4. A teneur de l'art. 32 al. 2 RPSS, toute personne qui est une cause de perturbation ou de scandale sur la voie publique doit, sur ordre de la police, immédiatement circuler.</w:t>
      </w:r>
    </w:p>
    <w:p>
      <w:r>
        <w:t>L'art. 42 RPSS prévoit que les contrevenants aux dispositions du présent règlement sont passibles de l'amende, sans préjudice de plus forte peine en cas de crimes ou de délits. 3.2. En l'espèce, le Tribunal de police a déclaré A______ coupable de violation simple des règles de la circulation routière (art. 90 al. 1 LCR) en se référant aux art. 217 et 218 OETV et d'infraction à l'art. 42 RPSS en se référant à l'art. 32 al. 2 dudit</w:t>
      </w:r>
    </w:p>
    <w:p>
      <w:r>
        <w:t>- 9/15 - P/20550/2016 règlement. En substance, il a retenu que A______ avait dérangé des agents municipaux dans l'exécution de leur travail, causant une perturbation sur la voie publique malgré qu'il lui ait été demandé à plusieurs reprises de circuler alors que son vélo était dépourvu de sonnette et de catadioptre fixé à demeure. 3.2.1. S'agissant de la violation de l'ordre de circuler, les deux témoins entendus ont fait des déclarations concordantes sur les faits litigieux, et non contradictoires, contrairement à ce que relève l'appelant. En effet, tous deux ont décrit qu'au niveau du quai ___, celui-ci vociférait fort à leur encontre, ce qui incitait les passants à se retourner, un badaud intervenant même pour lui demander de circuler, à l'instar de ce que faisaient les agents municipaux, notamment une dernière fois, avant qu'il ne soit déclaré en contravention et que n'intervienne son contrôle, comme l'ont relaté les deux témoins, et comme cela ressort du rapport de renseignements. Ainsi que relevé par le juge de première instance, les déclarations des témoins sont crédibles et cohérentes alors que A______ a lui-même reconnu s'être peut-être "un peu emporté sans les insulter" au moment du passage piéton de la rue ___, soit à quelques mètres du quai ___, ce qui témoigne d'une agitation certaine de sa part. Sur ces bases, l'on ne saurait dès lors distinguer une appréciation arbitraire des faits par le premier juge lorsqu'il a retenu, sur la base des témoignages recueillis, que A______ avait effectivement attiré l'attention des passant en créant une perturbation et un scandale sur la voie publique, dans la mesure de ses vociférations, tout en refusant de circuler lors de la dernière sommation qui lui a été faite, aucun élément du dossier ne permettant de retenir un comportement autre, mis à part les dénégations de l'appelant. En agissant de la sorte, A______ s'est bien rendu coupable d'infraction à l'art. 32 RPSS et par-là même à l'art. 42 RPSS, le jugement étant confirmé sur ce point. 3.2.2. S'agissant de la violation de 217 OETV, soit l'absence de catadioptres, le prévenu n'a versé aucun élément à la procédure tel que des photographies qui eussent pu être soumises aux témoins, ni requis de témoignage probant, permettant de mettre en doute les constatations effectuées par les agents municipaux à l'endroit de son cycle. Il s'ensuit que c'est sans arbitraire que le Tribunal de police a retenu, sur la base de leur témoignage, que son cycle n'était pas règlementairement équipé et l'a condamné de ce fait pour violation de l'art. 90 al. 1 LCR. 3.2.3. Il n'en va pas de même de la question liée à la présence d'une sonnette sur le cycle de l'appelant. En effet, il n'y a aucune indication au rapport de la police municipale qui mentionne le poids du cycle considéré et les témoins n'ont pas été interrogés sur ce point. Il n'existe ainsi pas d'élément de preuve au dossier qui permette de retenir que le cycle en question atteignait, ou dépassait, le poids des 11 kg à partir desquels, selon l'OETV, la fixation d'une sonnette était obligatoire. La production de cycles légers, en vue d'améliorer leur performance, étant quelque chose de notoire et d'actuel, le premier juge se devait de considérer, en l'état du dossier, qu'il existait à tout le moins un doute sur la réalisation de cette condition objective. Le fait que l'appelant n'a pas discuté cette circonstance n'y change rien.</w:t>
      </w:r>
    </w:p>
    <w:p>
      <w:r>
        <w:t>- 10/15 - P/20550/2016 L'absence de toute certitude à cet égard étant de nature à disculper l'appelant de l'infraction reprochée, c'est arbitrairement que le premier juge a retenu que le cycle atteignait le poids requis et la culpabilité de A______ de ce chef. L'appel sera admis et le jugement sera réformé sur ce point.</w:t>
      </w:r>
    </w:p>
    <w:p>
      <w:r>
        <w:rPr>
          <w:b/>
        </w:rPr>
        <w:t>E. 4</w:t>
      </w:r>
    </w:p>
    <w:p>
      <w:r>
        <w:t>4.1.1. Aux termes de l'art. 429 al. 1 CPP, le prévenu a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 Un éventuel concours imparfait n'implique aucunement un acquittement du chef de la qualification qui n'est finalement pas retenue à la charge du prévenu en raison dudit concours imparfait (arrêts du Tribunal fédéral 6B_80/2016 du 7 mars 2017 consid. 2.3 et les références ; 6B_392/2015 du 11 mars 2016 consid. 2). 4.1.2. A teneur de l'art. 215 al. 1 let. a CPP, afin d'élucider une infraction, la police peut appréhender une personne et, au besoin, la conduire au poste dans le but d'établir son identité. L'appréhension au sens de l'art. 215 CPP ne suppose pas d'emblée, au contraire de l'arrestation provisoire, que la personne concernée soit soupçonnée d'un délit (cf. ATF 139 IV 128 consid. 1.2 p. 131 ; 142 IV 129 consid. 2.2). Lorsqu'une personne est soupçonnée, la police peut l'arrêter provisoirement et la conduire au poste, si elle dispose d'informations fiables sur un crime ou un délit qui lui serait imputable (art. 217 al. 2 CPP) ou si elle l'a interceptée immédiatement après la commission d'une contravention (art. 217 al. 3 CPP).</w:t>
      </w:r>
    </w:p>
    <w:p>
      <w:r>
        <w:t>- 11/15 - P/20550/2016 4.1.3.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2e éd., Zurich 2014, n. 9 ad art. 428 ; N. SCHMID, Schweizerische Strafprozessordnung : Praxiskommentar, 2e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2e éd., n. 21 ad art. 428).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4.2</w:t>
      </w:r>
    </w:p>
    <w:p>
      <w:r>
        <w:t>; 1B_183/2012 du 20 novembre 2012 consid. 2 ; 1B_363/2014 du 7 janvier 2015 consid. 4.1 et les références citées).</w:t>
      </w:r>
    </w:p>
    <w:p>
      <w:r>
        <w:rPr>
          <w:b/>
        </w:rPr>
        <w:t>E. 4.2.1</w:t>
      </w:r>
    </w:p>
    <w:p>
      <w:r>
        <w:t>L’abandon d'un des trois chefs de culpabilité doit conduire à une réduction de l’amende. Il apparaîtrait justifié que celle-ci porte sur un tiers du montant de CHF 200.-, soit CHF 130.-, dans la mesure où les trois infractions reprochées sont d'une gravité sensiblement égale et étant rappelé que l’appelant n’a pas contesté le</w:t>
      </w:r>
    </w:p>
    <w:p>
      <w:r>
        <w:t>- 12/15 - P/20550/2016 montant de l’amende pour l’hypothèse où le verdict de culpabilité serait, en tout ou en partie, confirmé. Toutefois, le premier juge a constaté que le solde de la peine s'élevait à CHF 100.-. En application du principe de l'interdiction de la reformatio in pejus, le montant de l'amende sera ainsi arrêté à ce montant, étant relevé que l'appréhension intervenue n'était pas en lien avec les contraventions dont l'appelant a été reconnu coupable mais bien avec la nécessité d'établir son identité, faute de document d'identité présenté.</w:t>
      </w:r>
    </w:p>
    <w:p>
      <w:r>
        <w:rPr>
          <w:b/>
        </w:rPr>
        <w:t>E. 4.2.2</w:t>
      </w:r>
    </w:p>
    <w:p>
      <w:r>
        <w:t>Les conclusions en indemnisation de A______ doivent être rejetées. Si l'appelant a été emmené au poste pour y être contrôlé, ce n'est pas spécifiquement en regard des contraventions commises, mais bien dans le but d'établir son identité, comme autorisé par le CPP, alors qu'il venait de commettre une contravention et qu'il était démuni de papiers d'identité, comme le mentionne le rapport de renseignements. A titre superfétatoire, il sera également relevé que l'infraction abandonnée ne relève que d'une importance ténue en regard de la culpabilité globale de l'appelant, qui reste coupable tant d'infraction au RPSS qu'à l'art. 90 al. 1 LCR.</w:t>
      </w:r>
    </w:p>
    <w:p>
      <w:r>
        <w:t>S'agissant des frais de procédure, il conviendra de revoir les frais de première instance pour tenir compte de l'acquittement partiel prononcé. De la même manière, les frais pour la procédure d'appel seront mis à charge de l'appelant à hauteur de deux tiers, un tiers restant à la charge de l'Etat.</w:t>
      </w:r>
    </w:p>
    <w:p>
      <w:r>
        <w:t>Par souci de clarté, le dispositif sera entièrement repris. *****</w:t>
      </w:r>
    </w:p>
    <w:p>
      <w:r>
        <w:t>- 13/15 - P/20550/2016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