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AARP/352/2025 vom 1. Oktober 2025</w:t>
      </w:r>
    </w:p>
    <w:p>
      <w:r>
        <w:t>GE Cour de justice, 2025-10-01, FR</w:t>
      </w:r>
    </w:p>
    <w:p>
      <w:r>
        <w:rPr>
          <w:b/>
        </w:rPr>
        <w:t xml:space="preserve">Quelle: </w:t>
      </w:r>
      <w:r>
        <w:t>https://mcp.opencaselaw.ch/entscheid/ge_gerichte_AARP_352_2025</w:t>
      </w:r>
    </w:p>
    <w:p>
      <w:r>
        <w:t>FR: GE_GERICHTE AARP/352/2025 du 1 octobre 2025</w:t>
      </w:r>
    </w:p>
    <w:p>
      <w:r>
        <w:t>IT: GE_GERICHTE AARP/352/2025 del 1 ottobre 2025</w:t>
      </w:r>
    </w:p>
    <w:p>
      <w:pPr>
        <w:pStyle w:val="Heading2"/>
      </w:pPr>
      <w:r>
        <w:t>Erwägungen</w:t>
      </w:r>
    </w:p>
    <w:p>
      <w:r>
        <w:rPr>
          <w:b/>
        </w:rPr>
        <w:t>E. 12</w:t>
      </w:r>
    </w:p>
    <w:p>
      <w:r>
        <w:t>avril 2016 consid. 3.5.2 et 3.5.3) ; Que le temps considéré admissible pour les visites dans les établissements du canton est d'une heure et 30 minutes quel que soit le statut de l'avocat concerné, ce qui comprend le temps de déplacement (AARP/245/2023 du 13 juillet 2023 consid. 11.3) ; Qu'en l'espèce, il n'y a pas lieu d'indemniser un déplacement à CHF 100.- dont on ignore à quoi il correspond ainsi qu’un travail sur dossier de 20 mn à la date du 17 octobre 2024 étant rappelé que le forfait correspondant à 20% de l’activité couvre la rédaction de courriers ou de notes ; Que l'activité de la défenseure d'office satisfait pour le surplus les exigences légales et jurisprudentielles susexposées ; Que sa rémunération sera partant arrêtée à CHF 421.60 correspondant à 15 minutes au tarif horaire de CHF 200.- et une heure 50 minutes à celui de CHF 150.- (CHF 325.-), plus la majoration forfaitaire de 20% (CHF 65.-) et l'équivalent de la TVA au taux de 8.1% en CHF 31.60. Que le présent arrêt est rendu sans frais. * * * * *</w:t>
      </w:r>
    </w:p>
    <w:p>
      <w:r>
        <w:t>- 4/4 - P/11569/20234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