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AARP/351/2020 vom 13. Oktober 2020</w:t>
      </w:r>
    </w:p>
    <w:p>
      <w:r>
        <w:t>GE Cour de justice, 2020-10-13, FR</w:t>
      </w:r>
    </w:p>
    <w:p>
      <w:r>
        <w:rPr>
          <w:b/>
        </w:rPr>
        <w:t xml:space="preserve">Quelle: </w:t>
      </w:r>
      <w:r>
        <w:t>https://mcp.opencaselaw.ch/entscheid/ge_gerichte_AARP_351_2020</w:t>
      </w:r>
    </w:p>
    <w:p>
      <w:r>
        <w:t>FR: GE_GERICHTE AARP/351/2020 du 13 octobre 2020</w:t>
      </w:r>
    </w:p>
    <w:p>
      <w:r>
        <w:t>IT: GE_GERICHTE AARP/351/2020 del 13 ottobre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Aux termes de l'art. 407 al. 2 CPP, si l'appel du ministère public ou de la partie plaignante porte sur la déclaration de culpabilité ou sur la question de la peine et que le prévenu ne comparaît pas aux débats sans excuse, une procédure par défaut est engagée. Selon l'art. 366 CPP, applicable par renvoi de l'art. 379 CPP, si le prévenu s'est lui- même mis dans l'incapacité de participer aux débats ou s'il refuse d'être amené de l'établissement de détention aux débats, le tribunal peut engager aussitôt la procédure par défaut (al. 3), pour autant que les conditions suivantes soient réalisées (al. 4) : le prévenu a eu suffisamment l'occasion de s'exprimer auparavant sur les faits qui lui sont reprochés (let. a) et les preuves réunies permettent de rendre un jugement en son absence (let. b).</w:t>
      </w:r>
    </w:p>
    <w:p>
      <w:r>
        <w:rPr>
          <w:b/>
        </w:rPr>
        <w:t>E. 2.2</w:t>
      </w:r>
    </w:p>
    <w:p>
      <w:r>
        <w:t>En l'espèce, le prévenu, bien que dûment convoqué, n'a pas comparu aux débats d'appel, sans y avoir été excusé. Il a quitté la prison de E______ le 21 janvier 2019, sans laisser de coordonnées, et n'a pas donné de nouvelles depuis lors, alors même que le MP avait spécifiquement attiré son attention sur cette nécessité à l'issue de l'audience du 15 janvier 2019. A partir de celle-ci, il s'est désintéressé de la procédure, ne se présentant à aucune audience d'instruction ultérieure et faisant défaut devant le TP et la CPAR, sans donner d'explication. Son défenseur d'office</w:t>
      </w:r>
    </w:p>
    <w:p>
      <w:r>
        <w:t>- 9/20 - P/16797/2019 n'est pas parvenu à entrer en contact avec lui. Le prévenu s'est ainsi mis fautivement dans l'incapacité de participer aux débats. Cela dit, il a eu l'occasion de s'exprimer sur les faits en cause devant la police et, de manière contradictoire, devant le MP, les charges portées contre lui ayant été débattues à ces occasions. La procédure par défaut a ainsi valablement été engagée lors de l'audience d'appel, le conseil du prévenu s'en étant d'ailleurs rapporté à justice sur ce point.</w:t>
      </w:r>
    </w:p>
    <w:p>
      <w:r>
        <w:rPr>
          <w:b/>
        </w:rPr>
        <w:t>E. 3.1</w:t>
      </w:r>
    </w:p>
    <w:p>
      <w:r>
        <w:t>L'art. 123 CP réprime les lésions du corps humain ou de la santé qui ne peuvent être qualifiées de graves au sens de l'art. 122 CP. L'auteur de l'infraction de lésions corporelles simples à l'aide d'un objet dangereux est poursuivi d'office (art. 123 ch. 2 al. 1 et 2 CP). 3.2.1.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ATF 107 IV 12 consid. 3b p. 15). Celui qui utilise pour se défendre un objet dangereux, tel qu'un couteau ou une arme à feu, doit faire preuve d'une retenue particulière car sa mise en œuvre implique toujours le danger de lésions corporelles graves ou même mortelles.</w:t>
      </w:r>
    </w:p>
    <w:p>
      <w:r>
        <w:t>- 10/20 - P/16797/2019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 arrêts du Tribunal fédéral 6B_346/2016 du 31 janvier 2017 consid. 2.1.2 ; 6B_889/2013 du 17 février 2014 consid. 2.1). 3.2.2.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Genève/Bâle/Zurich 2011, n. 555, p. 189).</w:t>
      </w:r>
    </w:p>
    <w:p>
      <w:r>
        <w:rPr>
          <w:b/>
        </w:rPr>
        <w:t>E. 3.3</w:t>
      </w:r>
    </w:p>
    <w:p>
      <w:r>
        <w:t>Se rend coupable d'injure celui qui aura, par la parole, l'écriture, l'image, le geste ou par des voies de fait, attaqué autrui dans son honneur (art. 177 al. 1 CP). Selon l'art. 177 al. 3 CP, si l'injurié a riposté immédiatement par une injure ou par des voies de fait, le juge pourra exempter de toute peine les deux délinquants ou l'un d'eux. 3.4.1. En l'espèce, il est établi par les déclarations concordantes des deux parties et celles des témoins, qu'une altercation s'est produite entre A______ et C______ le</w:t>
      </w:r>
    </w:p>
    <w:p>
      <w:r>
        <w:rPr>
          <w:b/>
        </w:rPr>
        <w:t>E. 3.5</w:t>
      </w:r>
    </w:p>
    <w:p>
      <w:r>
        <w:t>L'infraction d'injure n'a pas été étayée par l'appelant dans sa plainte, ni au cours de ses différentes auditions. L'intimé a toutefois admis avoir proféré des insultes au sujet de la mère et de la famille de l'appelant après que celui-ci l'avait lui-même insulté de la même manière. Le dossier ne contenant pas d'autre élément relatif à cet événement ou à d'autres injures et l'appelant n'ayant au demeurant pas contesté cette chronologie, c'est cet enchainement des faits qui sera retenu. La culpabilité de l'intimé du chef d'injure sera ainsi retenue. Ce dernier ayant toutefois répliqué aux insultes de l'appelant, il sera fait application de l'art. 177 al. 3 CP et l'intimé sera exempté de toute peine s'agissant de cette infraction. 4. 4.1. L'infraction à l'art. 123 CP est passible d'une peine privative de liberté de trois ans au plus ou d'une peine pécuniaire. 4.2. Selon l'art. 47 CP, le juge fixe la peine d'après la culpabilité de l'auteur. Il prend en considération les antécédents et la situation personnelle de ce dernier ainsi que</w:t>
      </w:r>
    </w:p>
    <w:p>
      <w:r>
        <w:t>- 13/20 - P/16797/2019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4.3.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4.4. En l'espèce, la faute de l'intimé est importante. Il s'en est violemment pris à l'intégrité physique de son codétenu et lui a infligé des blessures non négligeables, pour des motifs, somme toute, futiles. Sa collaboration ne saurait être qualifiée de bonne. Il a, certes, admis rapidement avoir porté des coups à l'appelant, mais a toujours nié avoir employé un objet tranchant. Il n'a pas communiqué ses coordonnées à sa sortie de prison, malgré l'invitation expresse du MP en ce sens, et a fait défaut tant aux débats de première instance qu'à ceux d'appel. Il n'a visiblement pas pris conscience de ses agissements, n'ayant émis aucun regret à l'égard de son codétenu. Au vu de ses antécédents (sept condamnations en moins d'une année), il se justifie de prononcer une peine privative de liberté, qui semble seule apte à le détourner d'autres crimes ou délits (art. 41 al. 1 let. a CP). Compte tenu de sa situation personnelle, il y</w:t>
      </w:r>
    </w:p>
    <w:p>
      <w:r>
        <w:t>- 14/20 - P/16797/2019 a en outre sérieusement à craindre qu'une peine pécuniaire ne puisse être exécutée (art. 41 al. 1 let. b CP). La peine privative de liberté sera arrêtée à quatre mois, cette peine tenant adéquatement compte de la faute commise. Le sursis ne lui sera pas accordé, étant donné le nombre de ses antécédents sur une courte période et son absence de prise de conscience, son pronostic restant défavorable. 5. 5.1. A teneur de l'art. 126 al. 1 CPP, le tribunal statue sur les conclusions civiles présentées, lorsqu'il rend un verdict de culpabilité à l'encontre du prévenu (let. a). 5.2. Aux termes de l'art. 47 CO, le juge peut, en tenant compte de circonstances particulières, allouer à la victime de lésions corporelles une indemnité équitable à titre de réparation morale. Celui qui subit une atteinte illicite à sa personnalité a droit à une somme d'argent au titre de réparation morale, pour autant que la gravité de l'atteinte le justifie et que l'auteur ne lui ait pas donné satisfaction autrement (art. 49 al. 1 CO). En raison de sa nature, l'indemnité pour tort moral, destinée à réparer un dommage qui ne peut que difficilement être réduit à une simple somme d'argent, échappe à toute fixation selon des critères mathématiques (ATF 130 III 699 consid. 5.1 ; arrêt du Tribunal fédéral 6B_1133/2013 du 1er avril 2014 consid. 3.2). S'agissant du montant de l'indemnité du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 du Tribunal fédéral 6B_118/2016 du 20 mars 2017 consid. 6.1). La CPAR a notamment alloué à une victime de lésions corporelles simples, qui, à la suite de plusieurs coups, avait souffert d'une plaie à la lèvre inférieure, de douleurs à la palpation de la mâchoire et du scalp, d'un état de stress post-traumatique incluant des maux de tête, ainsi que de troubles psychiques, et avait subi une hospitalisation de deux nuits ainsi qu'un arrêt de travail de quatre jours, un tort moral de CHF 1'000.- (AARP /470/2015 du 12 novembre 2015 consid. 3.2.1). Plus récemment, elle a octroyé un tort moral d'un montant similaire à une victime qui avait reçu, à tout le moins, un coup de poing au visage et chuté, ce qui avait eu pour conséquence une fracture de son nez et une tuméfaction du pavillon de l'oreille gauche avec hématome et plaie, constatant que les lésions subies étaient restées superficielles, n'avaient pas nécessité de séjour à l'hôpital et n'avait pas entraîné de</w:t>
      </w:r>
    </w:p>
    <w:p>
      <w:r>
        <w:t>- 15/20 - P/16797/2019 séquelle durable, hormis une légère déviation du nez du plaignant (AARP/261/2018 du 30 août 2018 consid. 5.3). La CPAR a encore alloué ce même montant à une victime qui avait reçu des coups, notamment dans le dos et au visage, lesquels avaient engendré des ecchymoses, gonflements et rougeurs, ainsi qu'un trouble de la vision persistant (AARP/324/2020 du 15 septembre 2020). 5.3. En l'espèce, il se justifie d'octroyer à l'appelant une réparation morale, au vu des lésions subies au cours de l'altercation avec l'intimé. Le montant de CHF 7'000.- réclamé à ce titre paraît toutefois très largement excessif et non justifié. En effet, bien que le TP ait encore constaté la présence de cicatrices sur le visage de l'appelant à fin août 2019, celles-ci apparaissaient comme bien soignées ; une année plus tard, celles-ci n'étaient pas visibles, du moins à quelques mètres de l'intéressé. L'intensité des souffrances psychiques alléguées doit par ailleurs être relativisée, celles-ci ne ressortant d'aucun certificat médical. L'appelant n'a enfin pas dû être hospitalisé et n'a pas subi d'intervention chirurgicale. Conformément à la jurisprudence susrappelée, il se justifie de fixer le montant dû à titre de tort moral par C______ à l'appelant à CHF 800.-, un tel montant étant de nature à prendre en compte les désagréments subis par celui-ci. 6. 6.1. Selon l'art. 428 al. 1 CPP, les frais de la procédure de recours sont mis à la charge des parties dans la mesure où elles ont obtenu gain de cause ou succombé. Si elle rend une nouvelle décision, l'autorité d'appel se prononce également sur les frais fixés par l'autorité inférieure (art. 428 al. 3 CPP).</w:t>
      </w:r>
    </w:p>
    <w:p>
      <w:r>
        <w:t>6.2. En l'espèce, l'intimé, qui est condamné pour lésions corporelle simples au moyen d'un objet dangereux, succombe, l'appelant obtenant gain de cause sur la question de la culpabilité et le principe de ses conclusions civiles. L'intimé supportera ainsi les frais de la procédure d'appel, comprenant un émolument de CHF 1'500.- (art. 428 CPP et 14 al. 1 let. e du règlement fixant le tarif des frais en matière pénale du 22 décembre 2010 [RTFMP - E 4 10.03]).</w:t>
      </w:r>
    </w:p>
    <w:p>
      <w:r>
        <w:t>Il sera également condamné au paiement des frais de procédure de première instance de CHF 1'028.- (art. 426 al. 1 CPP).</w:t>
      </w:r>
    </w:p>
    <w:p>
      <w:r>
        <w:rPr>
          <w:b/>
        </w:rPr>
        <w:t>E. 7</w:t>
      </w:r>
    </w:p>
    <w:p>
      <w:r>
        <w:t>septembre 2018 dans la cellule que tous deux occupaient à la prison de E______, altercation au cours de laquelle chacun d'eux a été blessé. La CPAR considère également comme établi le fait que C______ a utilisé un objet tranchant pour blesser son codétenu au cours de cette altercation. En effet, bien que ce dernier le conteste, la nature des blessures subies par A______ (plaies linéaires à bord net) ne laisse aucun doute à ce sujet, ce qui a d'ailleurs été confirmé par le CURML dans son rapport. Deux couteaux et un poinçon artisanal ont en outre été retrouvés couverts de sang dans la cellule occupée par les parties. Enfin, le témoin I______ a indiqué qu'il lui avait été rapporté par un autre codétenu que l'intimé s'était effectivement saisi d'un couteau au cours de l'altercation. Le fait que les témoins F______ et H______ n'aient pas aperçu un tel objet dans les mains de l'intimé n'est pas propre à renverser cette conviction, les précités ayant pu n'être témoins que d'une partie de la bagarre – suivant l'endroit où ils étaient situés dans la cellule –, dite bagarre s'étant au surplus déroulée, selon F______, partiellement dans l'obscurité. Le témoin F______, qui s'est montré agressif avec l'appelant tout au long de sa propre audition, avait par ailleurs visiblement un contentieux important avec celui-ci, ce qui affaiblit sa crédibilité.</w:t>
      </w:r>
    </w:p>
    <w:p>
      <w:r>
        <w:t>- 11/20 - P/16797/2019 L'intimé a donc bien blessé l'appelant à l'aide d'un objet tranchant, soit un objet dangereux, faits constitutifs d'infraction à l'art. 123 al. 2 CP. 3.4.2. L'intimé allègue avoir agi en état de légitime défense, n'ayant fait que répondre à l'attaque de l'appelant qui se serait précipité en premier vers lui avec un objet tranchant, ce que ce dernier conteste. La crédibilité des deux parties est sujette à caution. C______ a, certes, directement évoqué un problème de télécommande comme étant à l'origine du conflit. Il a cependant persisté à nier avoir employé un objet pour blesser son adversaire, et est revenu sur ses déclarations devant le MP s'agissant du début de l'altercation, affirmant que A______ avait un objet tranchant dans les mains. Les déclarations de A______ ont considérablement varié au cours de la procédure. Il est, par exemple, revenu plusieurs fois sur les raisons du conflit, avant d'admettre qu'il y avait effectivement eu un problème de télécommande. Il a, par ailleurs, également nié avoir attaqué son codétenu avec un objet tranchant, ayant même prétendu que celui-ci s'était infligé des blessures dans le but de l'incriminer. La CPAR ne pouvant se fonder sur aucune des versions des deux protagonistes, seuls les éléments objectifs du dossier et les déclarations des différents témoins seront pris en considération. A l'instar du TP, il sera retenu qu'il n'est pas possible de déterminer précisément l'enchaînement des coups portés par l'intimé et l'appelant au cours de la bagarre. Les déclarations des différents témoins permettent néanmoins de comprendre que cette dernière a débuté suite à un différend entre F______ et l'appelant au sujet de la télécommande, ce que le premier nommé, le témoin I______ et l'intimé ont tous rapporté, et ce que l'appelant a fini par admettre. Le premier juge a retenu à juste titre que l'appelant s'était approché du lit de C______ afin de lui réclamer la télécommande, fait qui a été corroboré par les témoins I______ et F______. On ne peut toutefois considérer, sur la base des témoignages des précités en particulier, que l'appelant s'est montré physiquement agressif le premier, initiant la bagarre en blessant l'intimé avec un objet tranchant. Au contraire, il ressort de l'ensemble des témoignages que c'est C______ qui avait déclenché la bagarre, en portant le premier coup : le témoin I______ a expliqué que l'intimé s'était levé suite à la réclamation de son codétenu et l'avait poussé, mais sans le frapper ; le témoin G______ a expliqué que C______ avait frappé l'appelant en premier, ce dernier s'étant alors défendu ; et le témoin F______ a indiqué que c'était C______ qui s'était levé et avait commencé à frapper l'appelant. Il sera en outre précisé que la crédibilité du témoin G______ n'est pas affaiblie du seul fait qu'il a revu l'appelant à une reprise à l'extérieur de la prison, ce d'autant qu'il pensait que les parties n'avaient</w:t>
      </w:r>
    </w:p>
    <w:p>
      <w:r>
        <w:t>- 12/20 - P/16797/2019 pas déposé plainte. Quant au témoignage de F______, il est particulièrement crédible, celui-ci n'ayant aucune raison de mentir à ce sujet au vu de son inimitié envers l'appelant. L'ensemble des témoins s'accorde à dire que C______ a porté le premier coup : c'est donc cette version qui sera retenue par la CPAR, étant précisé que la localisation des traces de sang autour du lit et de l'oreiller de l'intimé est seulement propre à démontrer que l'altercation s'est déroulée à cet endroit, et non quel détenu a frappé en premier. Dans cette mesure, l'intimé ne sera pas mis au bénéfice de la légitime défense. Quant à l'emploi d'un objet dangereux, il n'est pas possible de déterminer lequel des deux protagonistes s'en est saisi en premier, faute de déclaration claire des témoins à ce sujet. L'intimé n'ayant pas rendu vraisemblable que l'appelant aurait été le premier à en faire usage, il ne sera pas non plus retenu qu'il a agi en état de légitime défense s'agissant de l'utilisation d'un objet dangereux. Cela étant, même à considérer que A______ se serait muni en premier d'une arme, il n'aurait pas été nécessaire, pour l'intimé, de répondre de la même manière, dès lors que les autres détenus sont intervenus rapidement pour les séparer. Dans ces circonstances, il n'aurait pas été proportionné d'infliger à l'intéressé des blessures telles celles décrites par le rapport du CURML, qui apparaissent au surplus plus importantes que celles qu'il a lui-même subies. En définitive, l'intimé sera reconnu coupable de lésions corporelles simples au moyen d'un objet dangereux, l'appel étant admis sur ce point.</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- 16/20 - P/16797/2019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7.2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s'agissant de l'état de frais de Me D______, le poste relatif à la préparation de l'audience sera ramené à trois heures (au lieu des cinq heures et 30 minutes alléguées), lesquelles paraissent suffisantes eu égard à la complexité modérée de la cause et au fait que trois heures et 30 minutes ont déjà été comptabilisées pour le "travail sur le dossier". La consultation du dossier au greffe de la CPAR, d'une durée de deux heures (qui comprend le déplacement) sera en outre ramenée à une heure, la vacation à la Cour de justice étant comptabilisée séparément. Il sera par ailleurs tenu compte de la durée de l'audience d'une heure et 15 minutes, de deux vacations pour l'avocate-stagiaire (pour la consultation du dossier et l'audience), ainsi que du forfait de 20% pour les divers courriers.</w:t>
      </w:r>
    </w:p>
    <w:p>
      <w:r>
        <w:t>- 17/20 - P/16797/2019</w:t>
      </w:r>
    </w:p>
    <w:p>
      <w:r>
        <w:t>La rémunération de Me D______ sera ainsi arrêtée à CHF 1'313.- pour une heure d'activité de collaboratrice au tarif de CHF 150.-/heure (CHF 150.-) et sept heures et 45 minutes d'activité d'avocate-stagiaire (CHF 852.50), plus la majoration forfaitaire de 20% (CHF 200.50), ainsi que deux vacations de CHF 55.- (CHF 110.-).</w:t>
      </w:r>
    </w:p>
    <w:p>
      <w:r>
        <w:t>7.5.1. S'agissant de l'état de frais de Me B______ pour la procédure de première instance, l'activité de 30 minutes consacrée à la rédaction d'un courrier ne sera pas indemnisée, celle-ci étant couverte par le forfait alloué pour la rédaction des divers courriers.</w:t>
      </w:r>
    </w:p>
    <w:p>
      <w:r>
        <w:t>La rémunération de l'avocat pour la procédure de première instance sera arrêtée à CHF 3'452.40 pour trois heures et 25 minutes d'activité de chef d'étude au tarif de CHF 200.-/heure (CHF 683.35), huit heures de déplacement au tarif de CHF 100.- /heure (CHF 800.-), neuf heures et dix minutes d'activité d'avocate-stagiaire au tarif de CHF 110.-/heure (CHF 1'008.35), deux vacations au TP (CHF 110.-), plus la majoration forfaitaire de 20% (CHF 338.35) ainsi que deux vacations de CHF 55.- (CHF 110.-), des frais de déplacement pour CHF 312.- et la TVA à 7.7 % (CHF 200.35). 7.5.2. S'agissant de l'état de frais de Me B______ pour la procédure d'appel, l'activité d'étude du dossier de quatre heures et dix minutes sera ramenée à deux heures, lesquelles paraissent suffisantes eu égard à la complexité modérée de la cause, étant rappelé que le conseil de l'appelant devait connaître parfaitement le dossier parce qu'étant déjà intervenu en première instance. Il sera tenu compte de la durée de l'audience d'une heure et 15 minutes, d'une vacation à CHF 55.-, de débours pour CHF 266.-, ainsi que du forfait de 20% pour les divers courriers.</w:t>
      </w:r>
    </w:p>
    <w:p>
      <w:r>
        <w:t>La rémunération de Me B______ pour la procédure d'appel sera ainsi arrêtée à CHF 2'781.85 pour sept heures et dix minutes d'activité de chef d'étude au tarif de CHF 200.-/heure (CHF 1'433.35), quatre heures et 15 minutes d'activité d'avocate- stagiaire au tarif de CHF 110.-/heure (CHF 467.50), plus la majoration forfaitaire de 20% (CHF 380.15), une vacation à CHF 55.-, des débours pour CHF 266.- et la TVA à 7.7 % (CHF 179.85). * * * * *</w:t>
      </w:r>
    </w:p>
    <w:p>
      <w:r>
        <w:t>- 18/20 - P/16797/2019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