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AARP/350/2014 vom 13. August 2014</w:t>
      </w:r>
    </w:p>
    <w:p>
      <w:r>
        <w:t>GE Cour de justice, 2014-08-13, FR</w:t>
      </w:r>
    </w:p>
    <w:p>
      <w:r>
        <w:rPr>
          <w:b/>
        </w:rPr>
        <w:t xml:space="preserve">Quelle: </w:t>
      </w:r>
      <w:r>
        <w:t>https://mcp.opencaselaw.ch/entscheid/ge_gerichte_AARP_350_2014</w:t>
      </w:r>
    </w:p>
    <w:p>
      <w:r>
        <w:t>FR: GE_GERICHTE AARP/350/2014 du 13 août 2014</w:t>
      </w:r>
    </w:p>
    <w:p>
      <w:r>
        <w:t>IT: GE_GERICHTE AARP/350/2014 del 13 agosto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t>- 5/8 - PM/671/2014</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w:t>
      </w:r>
    </w:p>
    <w:p>
      <w:r>
        <w:t>- 6/8 - PM/671/2014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p. 361).</w:t>
      </w:r>
    </w:p>
    <w:p>
      <w:r>
        <w:rPr>
          <w:b/>
        </w:rPr>
        <w:t>E. 2.3</w:t>
      </w:r>
    </w:p>
    <w:p>
      <w:r>
        <w:t>En l’espèce, la condition objective prévue par l’art. 86 al. 1 CP est réalisée depuis le ______ 2014. La direction de la prison de Champ-Dollon a préavisé négativement la libération conditionnelle de l'appelant en raison principalement des deux sanctions disciplinaires dont il a fait l'objet. Sans minimiser les agissements à l'origine de ces sanctions, le mauvais comportement de l'intéressé en détention doit néanmoins être relativisé eu égard à la situation de surpopulation carcérale dans cet établissement, qui n'est pas prévu pour l'exécution des peines et dont les conditions de détention sont connues pour être difficiles. Par ailleurs, s'il n'est pas contestable que les infractions qu'il a commises sont d'une certaine gravité, en particulier s'agissant de celle de brigandage, elles ne le sont toutefois pas au point de considérer que l'intéressé présenterait un réel danger pour la collectivité au vu des décisions judiciaires figurant au dossier. Aucune mesure n'a d'ailleurs été ordonnée dans le cadre de celles-ci, ce qui tend aussi à démontrer qu'un risque notamment hétéro-agressif n'a pas été jugé important. Par ailleurs, on ne saurait perdre de vue le fait que l'appelant, après avoir fait l'objet d'une première condamnation à une peine pécuniaire assortie du sursis, se trouve pour la première fois incarcéré dans le cadre des trois peines qu'il purge actuellement, de sorte que l'on peut raisonnablement compter sur l'effet dissuasif de la peine subie à ce jour et de celle qu'il serait amené à accomplir en cas d'échec d'une éventuelle libération conditionnelle. S'il est vrai que les projets de réinsertion de l'appelant sont pour le moins flous, on ne saurait poser des exigences trop élevées en ce domaine, d'autant qu'en dépit de la durée de son incarcération, l'intéressé n'a pas pu bénéficier des aménagements liés au régime de l'exécution de peine, ni même d'un emploi au sein de l'établissement de détention. Au vu de ce qui précède, les conditions de l'art. 86 al. 1 CP apparaissent réalisées en ce sens que le pronostic d'avenir est certes très incertain mais n'apparaît pas concrètement défavorable, étant également rappelé que la libération conditionnelle est la règle.</w:t>
      </w:r>
    </w:p>
    <w:p>
      <w:r>
        <w:t>- 7/8 - PM/671/2014 Ainsi, il convient d'accorder la libération conditionnelle à l'appelant, avec un effet légèrement différé afin de lui permettre de préparer au mieux sa sortie de prison. Il convient aussi d'attirer l'attention de l'appelant sur le fait que s'il devait, durant le délai d'épreuve, commettre un nouveau crime ou un délit, sa réincarcération pour le solde de sa peine pourra être ordonnée, nonobstant une nouvelle peine ou mesure (art. 89 al. 1 CP).</w:t>
      </w:r>
    </w:p>
    <w:p>
      <w:r>
        <w:rPr>
          <w:b/>
        </w:rPr>
        <w:t>E. 3</w:t>
      </w:r>
    </w:p>
    <w:p>
      <w:r>
        <w:t>Vu l'issue de l'appel, les frais de la procédure seront laissés à la charge de l'Etat (art. 428 CPP a contrario). * * * * *</w:t>
      </w:r>
    </w:p>
    <w:p>
      <w:r>
        <w:t>- 8/8 - PM/671/2014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