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AARP/349/2020 vom 15. Oktober 2020</w:t>
      </w:r>
    </w:p>
    <w:p>
      <w:r>
        <w:t>GE Cour de justice, 2020-10-15, FR</w:t>
      </w:r>
    </w:p>
    <w:p>
      <w:r>
        <w:rPr>
          <w:b/>
        </w:rPr>
        <w:t xml:space="preserve">Quelle: </w:t>
      </w:r>
      <w:r>
        <w:t>https://mcp.opencaselaw.ch/entscheid/ge_gerichte_AARP_349_2020</w:t>
      </w:r>
    </w:p>
    <w:p>
      <w:r>
        <w:t>FR: GE_GERICHTE AARP/349/2020 du 15 octobre 2020</w:t>
      </w:r>
    </w:p>
    <w:p>
      <w:r>
        <w:t>IT: GE_GERICHTE AARP/349/2020 del 15 ottobre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- 12/22 - P/23194/2015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2.1.2.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p. 79 ; ATF 122 IV 197 consid. 3d p. 205). Selon la jurisprudence, une fausse annonce de sinistre est, en principe, toujours astucieuse (ATF 143 IV 302 consid. 1.3 et 1.4).</w:t>
      </w:r>
    </w:p>
    <w:p>
      <w:r>
        <w:t>- 13/22 - P/23194/2015 La tromperie (astucieuse) doit être la cause de l'erreur, en ce sens qu'elle doit déterminer la dupe à se faire une représentation erronée de la réalité. Elle doit de plus amener la dupe, dans l'erreur, à accomplir un acte de disposition, ce qui implique qu'elle doit conserver une certaine liberté de choix et se léser elle-même ou léser autrui par son acte (ATF 118 IV 35 consid. 2c). Enfin, l'escroquerie n'est consommée que s'il y a un dommage (arrêts du Tribunal fédéral 6B_130/2016 du 21 novembre 2016 consid. 2.1 et 6B_552/2013 du 9 janvier 2014 consid. 2.3.2 ; B. CORBOZ, Les infractions en droit suisse, 3e éd. 2010, N 32 ad art. 146 CP).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Sur le plan subjectif, l'escroquerie est une infraction intentionnelle, l'intention devant porter sur tous les éléments constitutifs de l'infraction, le dol éventuel étant suffisant. (ATF 126 IV 165 consid. 4 p. 175 ; arrêts du Tribunal fédéral 6B_817/2018 du 23 octobre 2018 consid. 2.5.1 ; 6B_51/2017 du 10 novembre 2017 consid. 4.3.1). L'auteur doit en outre agir dans le dessein de se procurer ou de procurer à un tiers un enrichissement illégitime, correspondant au dommage de la dupe (ATF 134 IV 210 consid. 5.3 p. 213 s. ; arrêt du Tribunal fédéral 6B_1141/2017 du 7 juin 2018 consid. 1.2.2 ; 6B_446/2018 du 17 juillet 2018 consid. 2.1). Il existe néanmoins de la jurisprudence estimant qu'il n'est pas nécessaire que le dommage corresponde à l'enrichissement de l'auteur ou du tiers (arrêt 6B_597/2010 du Tribunal fédéral du 22 décembre 2010, consid. 2.5 et les références citées), ce dernier élément n'étant en effet pas une condition objective de punissabilité (arrêt du Tribunal fédéral 6B_541/2011 du 18 octobre 2011 consid. 5.1). L'enrichissement peut consister en "n'importe quelle amélioration de la situation économique, même si elle ne provoque qu'un dommage passager" (ATF 134 IV 210 consid. 5.3 ; ATF 102 83 in BJP 1988, n° 479). Il n'y a en revanche pas de dessein d'enrichissement illégitime si l'auteur croit, par sa tromperie, qu'il déterminera sa victime à lui payer ce qu'il lui doit (BJP 1994, n°589).</w:t>
      </w:r>
    </w:p>
    <w:p>
      <w:r>
        <w:rPr>
          <w:b/>
        </w:rPr>
        <w:t>E. 2.2</w:t>
      </w:r>
    </w:p>
    <w:p>
      <w:r>
        <w:t>En l'espèce, il est établi que C______ SA a encaissé à la fois les revenus générés par le travail de D______ auprès de ses clients et les indemnités, certes pour partie versées a postériori, de la compagnie d'assurance. Tant l'appelant que D______ l'ont expressément reconnu s'agissant de G______ et dans une moindre mesure en ce qui concerne I______ SARL et J______ SA, Ayant indiqué que D______, libre dans ses horaires, avait possiblement maintenu une certaine activité pour garder les contrats à flot sans que A______ ne le sache. Ils ont ensuite tous deux changé de version en expliquant que D______ avait en réalité été remplacé au sein de I______ SARL, sans qu'il ne soit clair si ce fût par S______, T______, Q______ ou d'autres personnes extérieures à C______ SA, ni comment celles-ci aurait été payées. Ces déclarations sont en tout état contredites par les factures nominatives et les relevés de présence</w:t>
      </w:r>
    </w:p>
    <w:p>
      <w:r>
        <w:t>- 14/22 - P/23194/2015 produits par I______ SARL ainsi que par les déclarations de P______, lequel était présent tout au long de la mission de D______ auprès de I______ SARL. Celui-ci a indiqué ne pas avoir constaté d'erreurs sur les documents susmentionnés et affirmé que l'intéressé ne s'était pas absenté durant une longue période ni n'avait été remplacé. Les déclarations en cause ne permettent en outre pas d'expliquer ce qu'il en est de la période Ayant précédé l'intervention de Q______ qui aurait remplacé D______ dès le 4 novembre 2013. Il est également établi que C______ SA a facturé et encaissé 60 et 20 heures de travail en octobre 2014 et 44 heures de travail en décembre 2014 dans le cadre du mandat J______ SA. D______ a par ailleurs initialement reconnu y avoir travaillé et que les factures adressées par C______ SA comprenaient non seulement ses propres heures mais également celles des fournisseurs externes. Le changement de version ultérieur de l'appelant et de D______ selon lequel ce dernier avait uniquement effectué des offres par email mais aucunement facturé des heures de travail à J______ SA, les travaux de câblage n'étant pas de son domaine, ne sont pas crédibles. Il ressort en effet du dossier que son activité consistait précisément en la mise en place des réseaux informatiques auprès des sociétés clientes de C______ SA et qu'une grande partie de son travail "exigeait des efforts physiques importants, notamment pour les câblages et les montages des installations informatiques". L'appelant a en outre affirmé dans un email adressé à J______ SA en fin de mandat que D______ s'était beaucoup investi et avait fourni un travail de qualité, ce qui renforce la thèse selon laquelle D______ a en effet effectué des travaux d'installation sur le chantier de J______ SA. En tout état, la question de savoir si D______ y a travaillé en tant que technicien ou en tant que responsable de fournisseurs externes n'y change au final rien. Il n'en demeure pas moins que C______ SA a facturé et encaissé, à teneur du dossier, des heures de travail au nom de D______ pour les trois mandats en cause, et ce, parallèlement aux indemnités perçues de la compagnie d'assurance. L'appelant argue vainement que si C______ SA disposait en effet de toutes les informations s'agissant de la facturation et des indemnités perçues, le "matching" n'était pas fait, et cela malgré lui. Outre le fait qu'il ne saurait s'en décharger au vu de son rôle d'administrateur avec signature individuelle de la société depuis 18 ans, ces explications ne convainquent pas. L'appelant a fait parvenir à B______ la déclaration accident en date du 3 septembre 2013, réclamant le versement d'indemnités pour son employé, et a lui-même reconnu que D______ avait possiblement maintenu une certaine activité puisqu'ils craignaient, à ce moment, que B______ ne verse aucune indemnité. Il a également expliqué que C______ SA n'avait pas les moyens de payer le salaire de D______, concédant néanmoins que cela ne signifiait pas que l'employé pouvait sans autre continuer à travailler dans l'attente de la réponse de l'assureur. Aussi, ne fait-il nul doute, au vu de ces explications, que l'appelant était au courant de la situation, qu'il a à tout le moins acceptée, de ses propres aveux, pour permettre à sa société de "survivre". A cela s'ajoute le fait que D______ a initialement déclaré que c'était avec l'appelant qu'il était le plus en contact et que c'était lui qui avait informé G______ de ses incapacités de travail, laquelle était donc au courant du</w:t>
      </w:r>
    </w:p>
    <w:p>
      <w:r>
        <w:t>- 15/22 - P/23194/2015 "système". Dans l'email du 19 novembre 2014, avec en copie E______, D______ et les deux secrétaires, soit M______ et L______, l'appelant donne des instructions très claires sur des paiements à effectuer, le tableau de dépense J______ SA à tenir à jour, des factures à vérifier, ainsi que sur les décomptes précis à obtenir s'agissant des indemnités versées par B______. Il apparaît ainsi que l'appelant était tout à fait au clair tant concernant les questions de facturation que s'agissant des indemnités versées par B______. Il n'est à cet égard pas crédible lorsqu'il déclare s'être trompé et avoir voulu parler de R______ et non de B______, vu la phrase "contacter B______ [sic] pour faire le point (…) avoir un décompte précis de ce qui est versé (désormais D______ est arrêté à 100%)" qui se réfère manifestement aux versements des indemnités de B______ en lien avec D______. Il ressort également de l'email précité que les tâches administratives étaient effectuées par les deux secrétaires de l'appelant sous son contrôle et selon des directives claires, si bien qu'il ne saurait être suivi lorsqu'il prétend que la société disposait de départements RH et facturation hermétiques. L'appelant ne peut par ailleurs se décharger de ses responsabilités sur E______, dont le rôle de fait au sein de C______ SA n'est pas établi, puisqu'il se réfère à lui, dans sa correspondance avec J______ SA, comme étant son "collaborateur". D______ qualifie par ailleurs E______ comme étant son "collègue". Enfin, la négligence et la naïveté alléguée par l'appelant détone avec les déclarations du témoin W______ qui le décrit comme une personne très ordonnée. Au vu de tous ces éléments, la CPAR retiendra que l'appelant est pleinement et personnellement responsable des actes commis à l'encontre de B______, ce qui exclut toute éventuelle responsabilité de C______ SA en tant qu'entreprise comme plaidé. Ainsi, en encaissant le revenu généré par l'activité de D______ et en percevant en parallèle les indemnités de B______ pour le compte de C______ SA, ce qui a causé un dommage à l'assurance à hauteur des indemnités versées indument, A______ s'est, en sa qualité d'administrateur avec signature individuelle (et d'actionnaire) de C______ SA, à tout le moins par dol éventuel, rendu coupable d'escroquerie au sens de l'art. 146 al. 1 CP. Le dessein d'enrichissement illégitime est donné dans la mesure où il savait, ou à tout le mois a accepté que, par ce procédé, il obtenait pour sa société, des prestations d'assurance indues. Il importe à cet égard peu que sans celles- ci, la société ne pouvait pas survivre, le risque économique n'incombant pas à la société d'assurance mais à C______ SA, ce qu'a au demeurant admis l'appelant. L'enrichissement de C______ SA correspond bien au dommage de B______, leur quotité étant sans importance, la situation patrimoniale de la société s'étant en tout état améliorée au détriment de B______. Le fait que l'appelant ne se soit pas enrichi à titre personnel n'est pas non plus pertinent. Au vu de ce qui précède, le verdict de culpabilité du chef d'escroquerie au sens de l'art. 146 al. 1 CP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w:t>
      </w:r>
    </w:p>
    <w:p>
      <w:r>
        <w:t>- 16/22 - P/23194/2015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Les nouvelles dispositions sur le droit des sanctions sont entrées en vigueur le 1er janvier 2018. En l'espèce, l'application de l'ancien ou du nouveau droit ne conduit pas à une solution différente, de sorte que le nouveau droit ne s'applique pas au titre de "lex mitior". 3.1.3. En vertu de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3.1.4 Aux termes de l'art. 53 aCP,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aCP ne sont réalisées qu'en instance de jugement, il y a lieu de déclarer l'auteur coupable, tout en renonçant à lui infliger une peine (ATF 135 IV 27 consid. 2.3 p. 30). La possibilité offerte par l'art. 53 aCP fait appel au sens des responsabilités de l'auteur en le rendant conscient du tort (Unrecht ; torto) qu'il a causé. Il convient</w:t>
      </w:r>
    </w:p>
    <w:p>
      <w:r>
        <w:t>- 17/22 - P/23194/2015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soit dans le cadre d'une peine pécuniaire, d'un travail d'intérêt général ou une peine privative de liberté inférieure à deux ans (cf. art. 42 CP) ; au-delà des deux ans d'emprisonnement, l'intérêt public à la poursuite de l'infraction ne peut plus être considéré comme étant de peu d'importance (ATF 135 IV 12 consid. 3.4.3 p. 23 ; arrêt du Tribunal fédéral 6B_130/2016 du 21 novembre 2016 consid. 3.1). Le fait que la gravité des faits se situe dans le cadre de l'art. 53 lit. a aCP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 3.1 et 6B_152/2007 du 13 mai 2008 consid. 5.2.3 et 5.2.4).</w:t>
      </w:r>
    </w:p>
    <w:p>
      <w:r>
        <w:rPr>
          <w:b/>
        </w:rPr>
        <w:t>E. 3.2</w:t>
      </w:r>
    </w:p>
    <w:p>
      <w:r>
        <w:t>En l'espèce, la faute de l'appelant est relativement importante. Il a trompé ou à tout le moins accepté de tromper B______ pour faire bénéficier sa société C______ SA d'indemnités réservées à des cas d'incapacité de travail effective. Il a ainsi agi sans considération pour les intérêts pécuniaires de B______, en "jouant sur deux tableaux", c'est-à-dire au mépris de la législation en vigueur en matière de prestations d'assurance-accidents. Sa situation personnelle n'explique nullement ses agissements. Au contraire, il bénéficiait d'un salaire confortable et sa société C______ SA avait réalisé, de ses propres aveux, un chiffre d'affaires de l'ordre de CHF 5 millions en 2014. Il ne peut</w:t>
      </w:r>
    </w:p>
    <w:p>
      <w:r>
        <w:t>- 18/22 - P/23194/2015 du reste se prévaloir d'aucune circonstance atténuante. Sa responsabilité est pleine et entière. Il n'a pas d'antécédents, facteur neutre au regard de la peine. B______ a, cela étant, retiré sa plainte, sa qualité de partie plaignante et son appel joint peu avant les débats d'appel expliquant que son dommage avait été entièrement réparé ; la condition de l’absence d'intérêt du lésé à la poursuite pénale est donc remplie. Même si l’appelant persiste à nier une partie des faits de même que toute intention délictuelle, il a reconnu que des négligences avaient été commises au détriment de B______ et, par la réparation du dommage de cette dernière, le caractère incorrect des actes perpétrés. Il sera dès lors retenu qu'une exemption de peine au sens de l'art. 53 CP se justifie en l'espèce. L'appel sera donc partiellement admis et le jugement entrepris modifié en ce sens.</w:t>
      </w:r>
    </w:p>
    <w:p>
      <w:r>
        <w:rPr>
          <w:b/>
        </w:rPr>
        <w:t>E. 4</w:t>
      </w:r>
    </w:p>
    <w:p>
      <w:r>
        <w:t>B______ Ayant retiré sa plainte, sa constitution de partie civile et son appel joint, il y a aussi lieu de réformer le jugement entrepris pour annuler le dispositif en tant qu'il statuait sur ses conclusions civiles et en indemnisation.</w:t>
      </w:r>
    </w:p>
    <w:p>
      <w:r>
        <w:rPr>
          <w:b/>
        </w:rPr>
        <w:t>E. 5</w:t>
      </w:r>
    </w:p>
    <w:p>
      <w:r>
        <w:t>L'appelant n'obtient que partiellement gain de cause. Il supportera la moitié des frais de la procédure d'appel comprenant un émolument d'arrêt de CHF 2'000.- (art. 428 al. 1 CPP et art. 14 let. e du règlement fixant le tarif des frais en matière pénale [RTFMP]). Les frais de la procédure préliminaire et de première instance seront en revanche laissés intégralement à sa charge, dans la mesure où la qualification juridique de l’infraction est confirmée et l'exemption de peine n’a pas eu d’influence sur ces frais (art. 428 al. 3 CPP).</w:t>
      </w:r>
    </w:p>
    <w:p>
      <w:r>
        <w:rPr>
          <w:b/>
        </w:rPr>
        <w:t>E. 6.1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le prévenu est condamné, même s'il est renoncé à toute peine. Il n’a donc droit à aucune indemnité fondée sur cette disposition.</w:t>
      </w:r>
    </w:p>
    <w:p>
      <w:r>
        <w:rPr>
          <w:b/>
        </w:rPr>
        <w:t>E. 6.2</w:t>
      </w:r>
    </w:p>
    <w:p>
      <w:r>
        <w:t>Aux termes de l'art. 436 CPP, les prétentions en indemnité et en réparation du tort moral dans la procédure de recours (y inclus l'appel) sont régies par les art. 429 à 434 CPP (al. 1). Si ni un acquittement total ou partiel, ni un classement de la procédure ne sont prononcés mais que le prévenu obtient gain de cause sur d'autres points, il a droit à une juste indemnité pour ses dépenses (al. 2).</w:t>
      </w:r>
    </w:p>
    <w:p>
      <w:r>
        <w:t>- 19/22 - P/23194/2015 La question de l'indemnisation doit être tranchée après la question des frais. Dans cette mesure, la décision sur les frais préjuge de la question de l'indemnisation (arrêt du Tribunal fédéral 6B_548/2018 du 18 juillet 2018 consid. 1.1.2).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L'autorité pénale amenée à fixer une indemnité sur le fondement de l'art. 436 CPP n'a pas à avaliser purement et simplement les notes d'honoraires d'avocats qui lui sont soumises.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Les démarches superflues, abusives ou excessives ne sont pas indemnisées (ATF 115 IV 156 consid. 2d p. 160).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et de la durée de la procédure (cf. ATF 138 IV 197 consid. 2.3.5 p. 203).</w:t>
      </w:r>
    </w:p>
    <w:p>
      <w:r>
        <w:rPr>
          <w:b/>
        </w:rPr>
        <w:t>E. 6.3</w:t>
      </w:r>
    </w:p>
    <w:p>
      <w:r>
        <w:t>En l’espèce, l’appelant obtient partiellement gain de cause et a donc droit à une indemnisation partielle pour la procédure d’appel, dans la même proportion que celle appliquée aux frais. Cela étant, le nombre d'heures facturées par le conseil de l’appelant est manifestement exagéré. En effet, il facture 4 heures et 45 minutes d'audience de première instance, lesquelles n'ont pas à être compensées sous l'angle de l'indemnisation des dépenses afférentes à la procédure d'appel. Il facture également</w:t>
      </w:r>
    </w:p>
    <w:p>
      <w:r>
        <w:t>- 20/22 - P/23194/2015 30 minutes d'entretien avec le Conseil de B______ ainsi que 15 minutes de courrier à ce dernier qui échappent manifestement à la stricte défense pénale. Sont également comptabilisées 8 heures de conférences avec le client et 14 heures et 15 minutes pour le poste "analyse du dossier, préparation audience et plaidoirie", alors que le conseil de l'appelant connaît bien le dossier pour l'avoir plaidé en première instance. Enfin, les postes d'examen du jugement motivé (1 heure et 15 minutes) et de l'appel joint de B______ (30 minutes) se recoupent avec le poste d'analyse du dossier. Vu l’ampleur exagérée de certaines démarches, il revient à la CPAR d’évaluer le nombre d’heures adéquates et nécessaires dans le cadre de cette indemnisation. Tout bien pesé, la CPAR retient donc comme appropriées dix heures d’activité de chef d’étude, pour l’étude et la préparation du dossier, auxquelles s’ajoutent les 2 heures et 45 minutes effectives de l’audience du 1er septembre 2020. L’indemnisation accordée sera réduite de moitié pour tenir compte du fait que l’appelant n’obtient que partiellement gain de cause, et s’élèvera donc à CHF 2'600.- (12 heures et 45 minutes à CHF 400.- plus CHF 100.- de frais, divisés par deux). Conformément à l'art. 442 al. 4 CPP, elle sera compensée avec les frais de procédure mis à sa charge (ATF 143 IV 293 consid. 1). * * * * *</w:t>
      </w:r>
    </w:p>
    <w:p>
      <w:r>
        <w:t>- 21/22 - P/23194/2015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