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AARP/348/2020 vom 7. Oktober 2020</w:t>
      </w:r>
    </w:p>
    <w:p>
      <w:r>
        <w:t>GE Cour de justice, 2020-10-07, FR</w:t>
      </w:r>
    </w:p>
    <w:p>
      <w:r>
        <w:rPr>
          <w:b/>
        </w:rPr>
        <w:t xml:space="preserve">Quelle: </w:t>
      </w:r>
      <w:r>
        <w:t>https://mcp.opencaselaw.ch/entscheid/ge_gerichte_AARP_348_2020</w:t>
      </w:r>
    </w:p>
    <w:p>
      <w:r>
        <w:t>FR: GE_GERICHTE AARP/348/2020 du 7 octobre 2020</w:t>
      </w:r>
    </w:p>
    <w:p>
      <w:r>
        <w:t>IT: GE_GERICHTE AARP/348/2020 del 7 ottobre 2020</w:t>
      </w:r>
    </w:p>
    <w:p>
      <w:pPr>
        <w:pStyle w:val="Heading2"/>
      </w:pPr>
      <w:r>
        <w:t>Erwägungen</w:t>
      </w:r>
    </w:p>
    <w:p>
      <w:r>
        <w:rPr>
          <w:b/>
        </w:rPr>
        <w:t>E. 1</w:t>
      </w:r>
    </w:p>
    <w:p>
      <w:r>
        <w:t>1.1.1. L'appel est recevable pour avoir été interjeté et motivé selon la forme et dans les délais prescrits (art. 398 et 399 CPP). 1.1.2. Selon l'art. 399 al. 3 CPP, dans sa déclaration d'appel, la partie indique si elle entend attaquer le jugement dans son ensemble ou seulement sur certaines parties (let. a), les modifications du jugement de première instance qu'elle demande (let. b) et ses réquisitions de preuves (let. c).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w:t>
      </w:r>
    </w:p>
    <w:p>
      <w:r>
        <w:t>- 17/30 - P/24308/2018 l'unification du droit de la procédure pénale du 21 décembre 2005, FF 2006 p. 1299).</w:t>
      </w:r>
    </w:p>
    <w:p>
      <w:r>
        <w:rPr>
          <w:b/>
        </w:rPr>
        <w:t>E. 1.2</w:t>
      </w:r>
    </w:p>
    <w:p>
      <w:r>
        <w:t>L'appelant, assisté d'un avocat, conclut dans son mémoire d'appel, en sus des conclusions prises dans sa déclaration d'appel, à son acquittement de dommages à la propriété et de violation de domicile pour les cas genevois n° 6, 7, 8 et 9, et de tentative de vol pour le cas vaudois n° 1 et le cas valaisan n° 2. Ces conclusions sont nouvelles et donc irrecevables. Ainsi, la CPAR limitera son examen aux acquittements sollicités dans la déclaration d'appel, qui fixe le cadre des débats.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w:t>
      </w:r>
    </w:p>
    <w:p>
      <w:r>
        <w:t>- 18/30 - P/24308/2018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 2.3.1. L'art. 139 ch. 1 CP réprime le comportement de celui qui, pour se procurer ou procurer à un tiers un enrichissement illégitime, aura soustrait une chose mobilière appartenant à autrui dans le but de se l'approprier. 2.3.2.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w:t>
      </w:r>
    </w:p>
    <w:p>
      <w:r>
        <w:t>- 19/30 - P/24308/2018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 ou de son entreprise légale. Une activité "accessoire" illicite peut aussi être exercée par métier (ATF 116 IV 319 consid. 4b p. 331). Contrairement à la circonstance qualifiée prévue en matière de stupéfiants et de blanchiment d'argent (art. 19 al. 2 let. c LStup ; art. 305bis ch. 2 let. c CP ; ATF 129 IV 188 consid. 3.1.2 p. 190 ss), l'aggravation du vol par métier n'exige ni chiffre d'affaires ni gain importants (arrêt du Tribunal fédéral 6B_1043/2017 du 14 août 2018 consid. 1.1). 2.3.3. Dans les cas où le comportement général de l'auteur comprend des infractions consommées et des infractions tentées apparaissant comme une infraction collective commise par métier, il n'y a pas de place pour une inculpation distincte en raison des tentatives (ATF 123 IV 113 consid 2d ; 105 IV 157).</w:t>
      </w:r>
    </w:p>
    <w:p>
      <w:r>
        <w:rPr>
          <w:b/>
        </w:rPr>
        <w:t>E. 2.4</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w:t>
      </w:r>
    </w:p>
    <w:p>
      <w:r>
        <w:rPr>
          <w:b/>
        </w:rPr>
        <w:t>E. 2.5</w:t>
      </w:r>
    </w:p>
    <w:p>
      <w:r>
        <w:t>L'art. 186 CP réprime, sur plainte,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- 20/30 - P/24308/2018 2.6.1. En l'espèce, l'appelant a reconnu à maintes reprises pendant la procédure avoir commis plusieurs cambriolages depuis son arrivée en Suisse, qu'il a située entre fin septembre et début octobre 2017. Bien qu'il n'ait pas donné des indications précises quant aux endroits qu'il avait "visités", ni leur nombre, il a finalement reconnu avoir cambriolé dans les cantons de Genève, Vaud et Valais. L'appelant a également décrit son modus operandi lequel consistait à entrer par les fenêtres, parfois en les cassant, parfois en les forçant avec un tournevis, après en avoir préalablement bloqué les stores au moyen d'une branche. Quant à l'ampleur du butin ainsi récolté, force est de constater que bien que celui- ci ait été qualifié de faible par l'intéressé, il a non seulement permis à l'appelant de subvenir à ses besoins, mais également de jouer aux machines à sous, ainsi qu'il l'a d'ailleurs admis. Il sera encore relevé que même à le suivre, l'appelant n'a exercé une activité rémunérée que pendant sept mois sur les 19 mois qu'a duré son séjour en Suisse. Cela étant, l'appelant n'admettant finalement son implication que dans quatre des 19 cambriolages retenus à son encontre par les premiers juges, il convient d'examiner, pour chacun des 15 cambriolages ou tentatives de cambriolages contestés, s'il existe des éléments au dossier permettant de l'incriminer. 2.6.2. A titre préliminaire, il sied de relever que l'ensemble des cambriolages contestés a été commis selon le modus operandi évoqué par l'appelant, soit en entrant par une fenêtre en forçant ou brisant la vitre au moyen d'un outil plat et, dans certains cas, après blocage des stores au moyen d'une branche. En outre, de l'ADN correspondant à l'appelant a été retrouvé dans 12 des 15 cambriolages contestés (font exception les cas valaisans n° 8, 9 et 10). L'appelant se plaint du fait qu'aucun test AFIS n'avait été effectué en lien avec le cas vaudois contesté. Un tel examen n'était cependant pas nécessaire pour établir la présence de l'appelant sur les lieux dès lors que son ADN a été retrouvé sur une clé en fer forgé ayant servi à briser le vitrage de la porte-fenêtre du logement. Quant au rapport de vraisemblance entre le prélèvement et le profil ADN de l'appelant, force est de constater que celui-ci a été correctement établi, puisqu'il repose sur 13 loci. En outre, si un transfert secondaire d'ADN ne peut scientifiquement être écarté, rien au dossier ne permet de l'envisager, ce d'autant qu'il est pour le moins improbable qu'un tel transfert ait eu lieu à 12 reprises, sur plusieurs mois, qui plus est dans trois cantons différents.</w:t>
      </w:r>
    </w:p>
    <w:p>
      <w:r>
        <w:t>- 21/30 - P/24308/2018 Par ailleurs, l'absence d'autres traces ADN, en particulier à l'intérieur de certains logements, n'est pas plus pertinente : d'une part, elle ne signifie pas que l'appelant ne s'y est pas trouvé ; d'autre part, il n'est pas coutumier de procéder à de nombreux prélèvements pour un cambriolage, les recherches ciblant bien plutôt les objets (telles que les fenêtres en l'espèce) qui présentent le plus de chances d'avoir été en contact avec le ou les auteurs. Les gants retrouvés en possession de l'appelant au moment de son interpellation démontrent par ailleurs les précautions prises au cours des cambriolages. Au vu de ce qui précède, il doit être tenu pour établi que l'appelant s'est rendu et a pénétré dans chaque logement dans lequel et/ou à l'extérieur duquel son ADN a été mis en évidence, soit les cas genevois n° 4, 5, 6, 7, 8, 9, le cas vaudois n° 1, ainsi que les cas valaisans n° 2, 4, 5, 7 et 12. D'autres indices matériels lient du reste l'appelant aux cambriolages. Ainsi, des traces de semelles correspondant à celles que portait l'appelant au moment de son interpellation ont été retrouvées sur les lieux des cambriolages valaisans n° 4, 5, 8, 9 et 10. Bien que ces traces ne puissent être attribuées avec certitude à l'appelant, ainsi que l'indique le rapport y relatif, il n'en demeure pas moins qu'il s'agit d'un indice supplémentaire, lequel est d'ailleurs considérablement renforcé par la présence simultanée d'ADN appartenant à l'appelant dans les cas précités n° 4 et 5, ainsi que par le lien spatio-temporel unissant ces cinq cambriolages survenus en une quinzaine de jours sur un territoire limité. Enfin, il n'existe aucune raison valable de mettre en doute le fait qu'une telle trace de semelle fût trouvée par la police sur les lieux, même en présence d'un rapport ne donnant pas d'informations détaillées sur cette question. Au vu de ce qui précède, l'existence d'une trace de semelle correspondant à celle de l'appelant dans les cas valaisans n° 8, 9 et 10 a une force probante suffisante pour confirmer la présence de l'appelant sur les lieux. 2.6.3. L'appelant conteste encore l'ampleur du butin et des dommages dénoncés par les victimes, faute de preuves (photos et factures notamment) suffisantes versées à la procédure. L'appelant n'a pas demandé que les plaignants soient entendus dans la procédure ou invités à fournir des renseignements complémentaires à ce sujet, se bornant, par la voix de son conseil et tardivement, à mettre en doute leur parole. De manière générale, la CPAR n'a pas de raisons de douter des inventaires établis par les victimes des cambriolages, l'absence d'attestations d'achat pouvant avoir de multiples raisons, les objets ayant notamment pu être hérités, reçus en cadeau, achetés à l'étranger ou il y a longtemps. Enfin, l'ampleur exacte du butin importe en définitive peu, dès lors que c'est le butin escompté qui est décisif. Or, l'auteur</w:t>
      </w:r>
    </w:p>
    <w:p>
      <w:r>
        <w:t>- 22/30 - P/24308/2018 de cambriolages est généralement disposé à s'emparer de tout objet de valeur qu'il trouve - surtout les bijoux et les devises, facilement transportables lorsque le malfrat doit prendre la fuite à pied - et espère donc obtenir le butin le plus conséquent possible. Il en va de même des dommages allégués, dont il n'y a pas lieu de douter de l'existence, dans la mesure où ils ont systématiquement été constatés par la police et fait l'objet d'un rapport. Quant au montant des réparations, si certaines victimes ont effectivement produit jusqu'en appel des factures et des devis y relatifs, ce qui démontre leur bonne foi et plaide en faveur de leur crédibilité, il n'est pas nécessaire d'en connaître le montant exact pour reconnaître l'appelant coupable de dommages à la propriété. 2.6.4. Le montant total du préjudice subi par les victimes en lien avec les biens qui leur ont été dérobés s'est élevé à plusieurs dizaines de milliers de francs correspondant au gain perçu en définitive par l'appelant. Un butin de cette ampleur est par ailleurs cohérent avec le fait que l'appelant a séjourné en Suisse pendant 12 mois sans exercer d'activité lucrative ni percevoir aucune aide financière. Aussi, l'ensemble des vols, tentatives de vol, dommages à la propriété et violations de domicile retenus par les premiers juges seront confirmés. Compte tenu du grand nombre d'actes commis par l'appelant et de la quantité d'objets et de valeurs dérobés, du temps consacré à cette activité, de l'importance du gain envisagé et obtenu ainsi que, de manière générale, de l'énergie déployée pour commettre ses méfaits, l'aggravante du métier, qui absorbe les tentatives de vol, sera retenue, les cas de tentative étant dès lors absorbés. Partant, l'appelant sera reconnu coupable de vol par métier, de dommages à la propriété et de violation de domicile. L'appel est rejeté et le jugement confirmé sur ce point.</w:t>
      </w:r>
    </w:p>
    <w:p>
      <w:r>
        <w:rPr>
          <w:b/>
        </w:rPr>
        <w:t>E. 2.7</w:t>
      </w:r>
    </w:p>
    <w:p>
      <w:r>
        <w:t>Il est établi, à teneur des déclarations concordantes des parties, que l'appelant et l'intimé S______ se sont affrontés lors d'une altercation violente. Il est également établi, sur la base des photographies versées à la procédure, que la veste, le pantalon et les chaussures de l'intimé S______ ont été endommagés à cette occasion. Alors que l'intimé S______ a toujours indiqué que l'appelant lui avait mordu la manche, l'intéressé s'en est toujours défendu, arguant, pour la première fois en appel, que les dégâts constatés sur la veste avaient été causés par les fils de fer se trouvant dans les vignes qu'ils avaient traversées en courant. Cette version des</w:t>
      </w:r>
    </w:p>
    <w:p>
      <w:r>
        <w:t>- 23/30 - P/24308/2018 faits n'emporte pas la conviction de la CPAR, dans la mesure où rien au dossier n'indique la présence de fils de fer ni, a fortiori, le fait que l'intimé S______ s'en soit approché. A cela s'ajoute que la veste est trouée à un endroit seulement, ce qui plaide en faveur d'une morsure de la part de l'appelant. En tout état de cause, en se débattant violemment pour se soustraire au policier, l'appelant ne peut qu'avoir pris en compte et accepté le risque d'endommager ses effets. La CPAR retiendra que l'appelant a agi intentionnellement s'agissant de la morsure et à tout le moins par dol éventuel pour les autres dommages. Il sera par conséquent reconnu coupable de dommages à la propriété et le jugement confirmé sur ce point.</w:t>
      </w:r>
    </w:p>
    <w:p>
      <w:r>
        <w:rPr>
          <w:b/>
        </w:rPr>
        <w:t>E. 3.1</w:t>
      </w:r>
    </w:p>
    <w:p>
      <w:r>
        <w:t>Le vol est sanctionné d'une peine privative de liberté de cinq ans au plus ou d'une peine pécuniaire (art. 139 ch. 1 CP). Lorsque la circonstance aggravante du métier est donnée, l'auteur encourt une peine privative de liberté de six mois à dix ans (art. 139 ch. 3 CP). La réalisation de l'aggravante du métier absorbe la tentative (ATF 123 IV 113 consid. 2c et d). La violation de domicile et les dommages à la propriété sont punis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w:t>
      </w:r>
    </w:p>
    <w:p>
      <w:r>
        <w:t>- 24/30 - P/24308/2018 (ATF 144 IV 313 consid. 1.2).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 concours réel, permettant l'application de l'art. 49 al. 1 CP, doit notamment être admis lorsque l'auteur réalise les éléments constitutifs de la même infraction à plusieurs reprises (arrêt du Tribunal fédéral 6B_1175/2017 du 11 avril 2018 consid. 2.4 et les références).</w:t>
      </w:r>
    </w:p>
    <w:p>
      <w:r>
        <w:rPr>
          <w:b/>
        </w:rPr>
        <w:t>E. 3.4</w:t>
      </w:r>
    </w:p>
    <w:p>
      <w:r>
        <w:t>En l'espèce, avec le TCO, la CPAR retient que la faute de l'appelant est importante, tant ses actes que leur répétition démontrant une forte volonté délictuelle. En l'espace de quelques mois, 19 cambriolages ont été commis par ses soins. S'il est vrai que certains d'entre eux sont restés au stade de la tentative, il n'en demeure pas moins qu'il a causé d'importants dégâts matériels aux lésés. Le préjudice des parties plaignantes s'élève à plusieurs dizaines de milliers de francs. Sans son arrestation, l'appelant, qui était déjà bien ancré dans la délinquance eu égard à la longue liste de ses antécédents, aurait selon toute vraisemblance perpétué ses agissements délictueux.</w:t>
      </w:r>
    </w:p>
    <w:p>
      <w:r>
        <w:t>- 25/30 - P/24308/2018 Son mobile résidait dans l'appât du gain facile. Sa situation personnelle, bien que précaire, ne justifiait pas ses agissements. La collaboration de l'appelant doit être qualifiée de médiocre. Il est vrai qu'il a admis avoir commis des cambriolages dans les cantons de Genève, Vaud et du Valais et décrit par quel moyen il pénétrait dans les habitations. Il s'est toutefois borné à contester la plupart des cambriolages qui lui étaient reprochés, en dépit des preuves qui l'incriminaient, notamment la présence de son ADN. L'appelant a brièvement présenté ses excuses aux parties plaignantes pendant l'audience de première instance, ce qui pourrait laisser entrevoir une certaine forme de prise de conscience. Celle-ci apparaît toutefois très limitée, voire de circonstance, dès lors qu'il a également persisté à nier toute implication dans la majorité des infractions reprochées. Il y a concours d'infractions, facteur aggravant de la peine. L'aggravante du métier exclut la prise en compte de l'art. 49 CP pour le vol (concours réel imparfait), tandis que les tentatives de vol sont absorbées par les infractions consommées. Ainsi que l'ont fait les premiers juges, il y a lieu de diviser les cambriolages en deux périodes distinctes, soit celle couvrant les infractions commises sur territoire genevois d'octobre 2017 à janvier 2018 d'une part, et sur territoire valdo-valaisan entre mars et avril 2019 d'autre part, dès lors que chaque groupe d'infractions relève d'une décision distincte et commande donc l'application de l'art. 49 al. 1 CP. Au vu de l'ensemble des circonstances, seule une peine privative de liberté entre en considération, ce que l'appelant ne conteste au demeurant pas. Pour la série de vols par métier abstraitement la plus grave, soit la série valdo- valaisanne (dix cas), il convient d'arrêter la peine à deux ans, et celles pour les dommages à la propriété et la violation de domicile à six mois chacune. Le concours entre ces trois infractions commandant une augmentation de la peine fixée pour la plus grave d'entre elles, soit la première, dans une juste proportion, la peine privative de liberté sera portée à deux ans et demi. Pour tenir compte de la série genevoise (huit cas), il convient d'augmenter la peine de base dans une juste proportion, en l'aggravant d'une année et demi (peine hypothétique de deux ans correspondant à une année pour les vols par métier, six mois pour les dommages à la propriété et six mois pour violation de domicile), ce qui amène la peine à quatre ans. Celle-ci doit encore être aggravée de peines additionnelles de deux mois pour sanctionner le vol du 17 novembre 2018 (cas genevois n° 9), de deux mois pour</w:t>
      </w:r>
    </w:p>
    <w:p>
      <w:r>
        <w:t>- 26/30 - P/24308/2018 les violences faites aux policiers, ainsi que les dommages à la propriété commis à l'encontre de l'intimé S______ et de deux mois pour les séjour et travail illégaux. L'octroi d'un sursis n'entre pas en considération (art. 42 et 43 CP). La peine privative de liberté d'ensemble de 4 ans et six mois prononcée à l'encontre de A______ sera par conséquent confirmée et l'appel rejeté.</w:t>
      </w:r>
    </w:p>
    <w:p>
      <w:r>
        <w:rPr>
          <w:b/>
        </w:rPr>
        <w:t>E. 4.1</w:t>
      </w:r>
    </w:p>
    <w:p>
      <w:r>
        <w:t>L'appelant, qui succombe, supportera les frais de la procédure envers l'État en CHF 3'075.-, comprenant un émolument de jugement de CHF 2'000.- (art. 428 CPP).</w:t>
      </w:r>
    </w:p>
    <w:p>
      <w:r>
        <w:rPr>
          <w:b/>
        </w:rPr>
        <w:t>E. 4.2</w:t>
      </w:r>
    </w:p>
    <w:p>
      <w:r>
        <w:t>Vu l'issue de son appel, il n'y a pas lieu de revoir les frais de première instance laissés à sa charge (art. 426 CPP).</w:t>
      </w:r>
    </w:p>
    <w:p>
      <w:r>
        <w:rPr>
          <w:b/>
        </w:rPr>
        <w:t>E. 5</w:t>
      </w:r>
    </w:p>
    <w:p>
      <w:r>
        <w:t>Le montant du dommage qui n'est pas contesté en tant que tel, a été valablement établi, justificatifs à l'appui, et la condamnation de l'appelant à la rembourser sera confirmée.</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w:t>
      </w:r>
    </w:p>
    <w:p>
      <w:r>
        <w:t>- 27/30 - P/24308/2018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le temps décompté par le défenseur d'office de A______ pour la rédaction d'un mémoire d'appel et d'une réplique apparaît excessif, étant relevé que ledit conseil avait déjà une bonne connaissance du dossier pour l'avoir défendu en première instance et qu'il y a développé des arguments en lien avec des conclusions qui se sont avérées irrecevables. Aussi, une durée globale de 7h00 sera considérée à ce titre. Au surplus, le temps consacré à la préparation d'un bordereau de pièces (ne contenant qu'une seule pièce), de même qu'à l'élaboration d'un état de frais, est compris dans le forfait applicable pour l'activité diverse. Enfin, le tarif horaire sera ramené à CHF 200.-. En conclusion, la rémunération de Me C______ sera arrêtée à CHF 3'161.75, correspondant à 12h30 d'activité au tarif horaire de CHF 200.- (CHF 2'500.-) plus la majoration forfaitaire de 10% (CHF 250.-), CHF 200.- à titre de débours correspondant aux frais d'interprète et l'équivalent de la TVA au taux de 7.7% (CHF 211.75).</w:t>
      </w:r>
    </w:p>
    <w:p>
      <w:r>
        <w:t>* * * * *</w:t>
      </w:r>
    </w:p>
    <w:p>
      <w:r>
        <w:t>- 28/30 - P/24308/2018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