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AARP/347/2017 vom 20. Oktober 2017</w:t>
      </w:r>
    </w:p>
    <w:p>
      <w:r>
        <w:t>GE Cour de justice, 2017-10-20, FR</w:t>
      </w:r>
    </w:p>
    <w:p>
      <w:r>
        <w:rPr>
          <w:b/>
        </w:rPr>
        <w:t xml:space="preserve">Quelle: </w:t>
      </w:r>
      <w:r>
        <w:t>https://mcp.opencaselaw.ch/entscheid/ge_gerichte_AARP_347_2017</w:t>
      </w:r>
    </w:p>
    <w:p>
      <w:r>
        <w:t>FR: GE_GERICHTE AARP/347/2017 du 20 octobre 2017</w:t>
      </w:r>
    </w:p>
    <w:p>
      <w:r>
        <w:t>IT: GE_GERICHTE AARP/347/2017 del 20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w:t>
      </w:r>
    </w:p>
    <w:p>
      <w:r>
        <w:t>- 13/27 - P/9517/2016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w:t>
      </w:r>
    </w:p>
    <w:p>
      <w:r>
        <w:t>- 14/27 - P/9517/2016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2.2.1. Se rend coupable de brigandage selon l'art. 140 ch. 1 CP celui qui commet un vol en usant de violence à l'égard d'une personne, en la menaçant d'un danger imminent pour la vie ou l'intégrité corporelle ou en la mettant hors d'état de résister. Sur le plan subjectif, l'intention doit porter sur tous les éléments constitutifs de l'infraction, soit notamment le dessein de s'approprier la chose et de se procurer ou de procurer à un tiers un enrichissement illégitime (B. CORBOZ, Les infractions en droit suisse, vol. I, 3e éd., Berne 2010, n. 1 à 11 ad art. 140 CP). Le dessein d’enrichissement illégitime suppose que l’auteur, par son acte, ait voulu se procurer ou procurer à un tiers tout avantage patrimonial, une erreur sur les faits étant toutefois concevable (B. CORBOZ, op. cit., n. 14 et 15 ad art. 138 CP). Ainsi, l’enrichissement ne sera pas illégitime si l’auteur y a droit (ou croit qu’il y a droit en raison d’une erreur sur les faits ; arrêt du Tribunal fédéral 6B_17/2009 du 16 mars 2009 consid. 2.2.1 ; M. DUPUIS / L. MOREILLON / C. PIGUET / S. BERGER / M. MAZOU / V. RODIGARI [éds], Petit Commentaire du CP, 2e éd., 2017, n. 27 ad art. 137 ss CP). L'existence de la créance invoquée par l'auteur n'est donc pas déterminante quant au dessein d'enrichissement illégitime ; c'est la conscience de l'illégitimité de l'enrichissement qui compte. Si elle fait défaut, notamment lorsque l'auteur est convaincu de l'existence de sa créance, celui-ci devra se voir appliquer l'art. 19 aCP (art. 13 CP) sur l'erreur de fait. Ce sont donc la volonté et la représentation que se fait l'auteur de la situation qui sont déterminantes (ATF 105 IV 29 consid. 3a). Le dessein d’enrichissement illégitime fait notamment défaut si, au moment de l’emploi illicite de la valeur patrimoniale, l’auteur en paie la contre- valeur (cf. ATF 107 IV 166 consid. 2a), s’il avait, à tout moment ou, le cas échéant, à la date convenue à cet effet, la volonté et la possibilité de le faire (ATF 118 IV 32 consid. 2a) ou encore s’il était en droit de compenser (ATF 105 IV 39 consid. 3 ; arrêt du Tribunal fédéral 6B_17/2009 du 16 mars 2009 consid. 2.2.1). 2.2.2. Selon l'art. 13 al. 1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p. 240). L'intention délictuelle fait alors défaut.</w:t>
      </w:r>
    </w:p>
    <w:p>
      <w:r>
        <w:t>- 15/27 - P/9517/2016</w:t>
      </w:r>
    </w:p>
    <w:p>
      <w:r>
        <w:rPr>
          <w:b/>
        </w:rPr>
        <w:t>E. 2.3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considère comme une menace tout comportement par lequel l'auteur alarme ou effraye volontairement sa victime. La menace peut prendre une forme orale ou écrite, mais aussi résulter d'un geste ou d'une allusion, ou encore être exprimée par actes concluants (ATF 99 IV 212 consid. 1a). Constitue notamment une menace le fait d'empoigner un couteau de cuisine (PKG 1963, n° 49), de casser une bouteille de bière en l'utilisant comme une arme, de faire le geste d'égorger sa victime ou encore de désassurer une arme. Peut également constituer une menace le fait de brandir une arme à feu chargée à blanc, ou hors d'état de tirer (ATF 99 IV 212 consid. 1a ; M. DUPUIS / L. MOREILLON / C. PIGUET / S. BERGER / M. MAZOU / V. RODIGARI [éds], op. cit., n. 7 et 8 ad art. 180 CP). Il faut par ailleurs que l'auteur menace sa victime d'un dommage sérieux. Pour que le dommage annoncé soit sérieux, il n'est pas nécessaire qu'il soit si important que la victime puisse en être alarmée ou effrayée (M. DUPUIS / L. MOREILLON / C. PIGUET / S. BERGER / M. MAZOU / V. RODIGARI [éds], op. cit., n. 13 ad art. 181 CP).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Le moyen est notamment illicite lorsque l'auteur utilise la violence, par exemple en frappant la victime ou menaçant de la tuer (M. DUPUIS / L. MOREILLON / C. PIGUET / S. BERGER / M. MAZOU / V. RODIGARI [éds], op. cit., n. 22 ad art. 181 CP). Sur le plan subjectif, il faut que l'auteur ait agi intentionnellement, c'est-à-dire qu'il ait voulu contraindre la victime à adopter le comportement visé en étant conscient de l'illicéité de son comportement ; le dol éventuel suffit (ATF 120 IV 17 consid. 2c). Lorsque la victime ne se laisse pas intimider et n'adopte pas le comportement voulu par l'auteur, ce dernier est punissable de tentative de contrainte (art. 22 al. 1 CP ; ATF 129 IV 262 ; 106 IV 125 consid. 2b p. 129).</w:t>
      </w:r>
    </w:p>
    <w:p>
      <w:r>
        <w:t>- 16/27 - P/9517/2016 2.4.1. En l'espèce, il n'est pas contesté que l'appelant a remis CHF 100.- à chacune des plaignantes, qu'il ne connaissait pas, en échange de prestations sexuelles, qu'il s'est retrouvé au lit, dénudé, avant de se relever soudainement. Les versions des faits des parties divergent néanmoins notablement sur les circonstances qui ont précédé et suivi l'altercation qui a ensuite débuté entre elles, avant de mener le prévenu à tirer sur la porte palière de l'appartement avec son arme. Il conviendra donc d'apprécier la crédibilité des parties à l'aune de leurs déclarations respectives. Contrairement à ce qui a été retenu par les premiers juges, les récits des parties plaignantes comportent de multiples incohérences, qui les rendent d'autant moins crédibles qu'ils se contredisent entre eux sur des points importants. S'agissant des prestations convenues, C______ a d'abord indiqué que le montant de CHF 200.- incluait "un rapport complet et une fellation avec [elles] deux", puis, une relation sexuelle avec chacune, et enfin, une fellation par l'une d'elles et un rapport sexuel avec l'autre, cette dernière version ayant été corroborée par D______, qui a également expliqué qu'ils s'étaient en fait mis d'accord sur une prestation de 15 minutes comprenant une relation sexuelle avec chacune d'elles, au bon vouloir du client si ce laps de temps le lui permettait. Outre le fait que ces versions sont contradictoires et parfois difficilement compréhensibles, elles sont avant tout peu crédibles, dès lors qu'il semble peu vraisemblable que des professionnelles offrent gracieusement des prestations au-delà de ce qui est convenu. Les plaignantes se contredisent également sur le fait de savoir si elles ont aperçu ou non le contenu du portefeuille de l'appelant. C______ a nié, puis admis avoir vu qu'il détenait de l'argent, alors que selon sa collègue, elles avaient clairement vu son contenu, allant même jusqu'à préciser les montants et les devises des différentes coupures s'y trouvant. Sur la base de ces déclarations, il est par ailleurs impossible de déterminer si D______, qui a varié à ce sujet, a placé le billet de CHF 100.- à l'intérieur ou à l'extérieur de la chambre et, partant, de savoir si l'une des parties a pu se rendre dans une autre pièce de l'appartement après leur arrivée. Les contradictions ne s'arrêtent pas là puisque pour l'une d'entre elles, la lumière, avec le plafonnier, était normale dans la pièce, alors que pour l'autre, elle avait été éteinte, seule la lampe de chevet subsistant. Chacune des deux plaignantes a indiqué avoir elle-même mis un préservatif au prévenu et être celle qui lui prodiguait une fellation au moment où il s'était subitement levé. De manière également contradictoire, D______ a d'abord relevé à la police que durant la fellation qu'elle pratiquait, C______ caressait le prévenu, alors que devant le Ministère public, elle a précisé que, dans le même temps, ce dernier "suçait" sa collègue.</w:t>
      </w:r>
    </w:p>
    <w:p>
      <w:r>
        <w:t>- 17/27 - P/9517/2016 Aucune des deux parties plaignantes n'a fourni la moindre explication quant au revirement soudain de l'appelant. D______ a quant à elle dévoilé qu'il s'était "transformé", pensant qu'elles l'avaient volé, ce qui constitue un premier indice à ce surprenant changement de comportement. Les plaignantes ont toujours soutenu que le prévenu les avait par la suite agressées pour tenter de récupérer son argent, mais aussi d'obtenir leurs propres économies. Or, D______ a admis qu'elle n'avait pas compris lorsque ce dernier avait réclamé en français "tout mon argent" et qu'il est établi que les deux femmes, assistées d'un interprète durant leurs auditions, ne parlent que peu le français et ne le comprennent pas bien. Sur la base des déclarations des plaignantes, il n'est ainsi pas possible d'exclure qu'elles aient mal compris quelle était l'intention de l'appelant, d'autant plus que C______ a précisé avoir saisi les motivations de celui-ci uniquement parce qu'il avait finalement accepté de quitter la chambre pour aller chercher l'argent qu'il réclamait, alors qu'il savait que l'argent qu'il leur avait remis s'y trouvait pourtant. Elle en avait donc conclu qu'il cherchait plus d'argent que les CHF 200.- qui étaient dans la chambre. Concernant la somme de CHF 100.- qui aurait finalement été dérobée par l'appelant, l'on comprend à nouveau qu'il s'agit d'une simple déduction de C______, qui a indiqué ne pas avoir vu agir le prévenu, malgré l'espace confiné, mais avoir simplement constaté la disparition de l'argent. Les explications des parties plaignantes semblent peu vraisemblables compte tenu de l'exiguïté de la chambre, de surcroît éclairée, où le prévenu n'est jamais resté seul, D______ ne donnant aucune description de l'évènement pour sa part. Aux dires de C______, l'argent se trouvait sur une table basse sous son porte-monnaie qui, lui, n'a pas été dérobé ou vidé, ce qui paraît incompatible avec une prétendue volonté d'enrichissement de la part du prévenu. C______ et D______ n'ont donné spontanément que peu de précisions sur le coup de crosse qui aurait été porté par l'appelant à cette dernière, étant précisé qu'il est difficile de savoir si les lésions constatées par la police corroborent cette version, faute de rapport médical. Enfin, la CPAR peine à comprendre de quelle manière précisément les plaignantes ou seulement l'une d'entre elles serait parvenue à repousser le prévenu hors de l'appartement, alors même qu'il était armé et menaçant. Il résulte de ce qui précède que le déroulement des évènements, tel que donné par les parties plaignantes ne peut être retenu comme reflétant exactement la réalité des faits, dans la mesure des multiples contradictions relevées supra.</w:t>
      </w:r>
    </w:p>
    <w:p>
      <w:r>
        <w:t>- 18/27 - P/9517/2016 A l'inverse, le récit de l'appelant est constant, cohérent et détaillé, mais surtout, il permet de saisir les raisons de son soudain changement de comportement. Il est plausible qu'il a pensé, comme il l'a exprimé à plusieurs reprises, de l'un des mouvements de l'une des parties plaignantes, qu'elle voulait s'en prendre à son argent alors que l'autre tentait de détourner son attention. Cela est compréhensible compte tenu des montants en jeu, de sa consommation d'alcool et de stupéfiants ainsi que de l'emplacement de son portefeuille, facilement accessible au vu de la configuration de la chambre et de la hauteur de l'armoire, à laquelle se trouvait accolé un petit fauteuil. Ceci explique dès lors qu'il se soit levé et ait réclamé la restitution de l'argent remis en échange d'une prestation sexuelle viciée, selon sa représentation des faits, et qui venait de débuter, sans qu'aucun acte sexuel n'intervienne encore, mis à part le placement d'un préservatif, avant de se résigner et quitter l'appartement sans cet argent, dont il n'est pas établi qu'il s'en soit saisi. Par conséquent, la CPAR retient que les versions des faits des parties plaignantes ne sont pas cohérentes entre elles et souffrent de multiples contradictions, qu'il y a lieu de retenir que le prévenu a cru à une atteinte à son patrimoine, comme cela ressort des déclarations de D______ quant aux expressions du prévenu et explique de façon cohérente l'interruption fort prématurée des prestations sexuelles convenues. Dans cette mesure, il n'est pas possible de retenir que l'appelant a tenté de s'emparer des économies des plaignantes, et cela ressort également des déclarations de D______, selon lesquelles il réclamait "[son] argent", le fait qu'elle n'ait pas compris ce qu'il entendait par là étant, à cet égard, tout-à-fait surprenant. Il apparaît, au contraire, qu'il a cherché uniquement à récupérer l'argent qu'il avait versé pour une prestation qui n'était pas encore exécutée, l'existence d'une fellation n'étant nullement établie. Vu la tentative de vol dont l'appelant se croyait, à tort ou à raison, victime, et compte tenu de la brièveté de la relation, deux minutes tout au plus aux dires des plaignantes, le simple fait d'être nu, dans les circonstances très douteuses de l'espèce, ne peut conduire à considérer qu'il aurait dû réaliser que sa contre-prestation était d'ores et déjà acquise à ses cocontractantes. Subjectivement, son intention de s'accaparer du patrimoine d'autrui en vue d'un enrichissement illégitime fait défaut, le prévenu devant, à tout le moins, être mis au bénéfice de l'erreur sur les faits. Partant, l'appelant sera acquitté du chef de brigandage. Le jugement entrepris sera modifié et l'appel admis sur ce point. 2.4.2. Il reste à déterminer si l'appelant peut se voir reprocher d'avoir exercé un moyen de contrainte au moment où il réclamait la restitution de son argent, plus particulièrement d'avoir, dans ces circonstances, menacé ses victimes d'un dommage sérieux.</w:t>
      </w:r>
    </w:p>
    <w:p>
      <w:r>
        <w:t>- 19/27 - P/9517/2016 Les plaignantes ont toujours maintenu avoir été frappées, menacées et insultées par le prévenu afin qu'elles lui remettent cet argent. Ce dernier a quant à lui contesté les violences physiques, en particulier les coups et le fait de les avoir tenues en joue avec son arme. Cela étant, il a admis qu'alors qu'il réclamait son argent pendant "un certain temps", il avait gardé son arme chargée dans sa main le long de son corps, tout en usant d'expressions, telles que "donne-moi mon argent putain de merde". Il a reconnu en audience d'appel que les parties plaignantes avaient pu ressentir "la peur de leur vie". Ce faisant, l'appelant a ainsi indéniablement tenté de porter atteinte à la liberté d'action de ses victimes par un moyen illicite, en réclamant cet argent tout en leur faisant craindre une atteinte à leur intégrité corporelle, voire à leur vie, à l'aide d'une arme munitionnée, ce qu'elles n'ignoraient pas, ce comportement les ayant effectivement effrayées et alarmées. Comme retenu précédemment, le prévenu n'est toutefois pas parvenu à ses fins, puisque les plaignantes ne lui ont pas remis ni indiqué où se trouvaient les CHF 200.-, n'ayant pas coopéré. L'appelant sera donc reconnu coupable de tentative de contrainte et le jugement entrepris réformé en ce sens.</w:t>
      </w:r>
    </w:p>
    <w:p>
      <w:r>
        <w:rPr>
          <w:b/>
        </w:rPr>
        <w:t>E. 3.1</w:t>
      </w:r>
    </w:p>
    <w:p>
      <w:r>
        <w:t>En vertu de l'art. 19 al. 2 LStup, l'auteur de l'infraction est puni d'une peine privative de liberté d'un an au moins. L'infraction de mise en danger de la vie d'autrui et punie d'une peine privative de liberté de cinq ans au plus ou d'une peine pécuniaire et les infractions de contrainte et aux art. 33 al. 1 LArm, 19 al. 1 LStup, 95 al. 1 et 97 al. 1 LCR d'une peine privative de liberté de trois ans au plus ou d'une peine pécuniaire. L'infraction à l'art. 19a LStup est passible de l'amende.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- 20/27 - P/9517/2016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t>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(ATF 135 IV 87 consid. 2 p. 89). Les antécédents judiciaires ne sauraient toutefois conduire à une augmentation massive de la peine, parce que cela reviendrait à condamner une deuxième fois pour des actes déjà jugés (ATF 120 IV 136 consid. 3b p. 145).</w:t>
      </w:r>
    </w:p>
    <w:p>
      <w:r>
        <w:t>3.2.3.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(arrêt du Tribunal fédéral 6B_517/2008 du 27 août 2008 consid. 5.3.2).</w:t>
      </w:r>
    </w:p>
    <w:p>
      <w:r>
        <w:t>Il convient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w:t>
      </w:r>
    </w:p>
    <w:p>
      <w:r>
        <w:t>- 21/27 - P/9517/2016</w:t>
      </w:r>
    </w:p>
    <w:p>
      <w:r>
        <w:t>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w:t>
      </w:r>
    </w:p>
    <w:p>
      <w:r>
        <w:t>L'état d'émotion violente ou celui de profond désarroi doit être rendu excusable par les circonstances (ATF 119 IV 203 consid. 2a p. 204 ; 118 IV 233 consid. 2a p. 236). Il doit par ailleurs s'agir de circonstances objectives, de sorte qu'il faut se demander si un tiers raisonnable, placé dans la même situation que l'auteur, se serait trouvé dans le même état (ATF 108 IV 99 consid. 3b p. 102 ; 107 IV 103 consid. 2b/bb p. 106).</w:t>
      </w:r>
    </w:p>
    <w:p>
      <w:r>
        <w:t>Enfin, il faut qu'il existe une certaine proportionnalité entre la provocation, d'une part, et la réaction de l'auteur, d'autre part (arrêt du Tribunal fédéral 6B_517/2008 du 27 août 2008 consid. 5.3.2).</w:t>
      </w:r>
    </w:p>
    <w:p>
      <w:r>
        <w:t>3.2.4.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3.2.5. Selon l'art. 22 CP, le juge peut atténuer la peine si l'exécution d'un crime ou d'un délit n'est pas poursuivie jusqu'à son terme ou que le résultat nécessaire à la consommation de l'infraction ne se produit pas ou ne pouvait pas se produire.</w:t>
      </w:r>
    </w:p>
    <w:p>
      <w:r>
        <w:rPr>
          <w:b/>
        </w:rPr>
        <w:t>E. 3.3</w:t>
      </w:r>
    </w:p>
    <w:p>
      <w:r>
        <w:t>En l'espèce, la faute de l'appelant et très grave. Il a en effet porté atteinte à de nombreux biens juridiques, en particulier à l'intégrité corporelle et à la liberté de deux femmes. Si, comme retenu ci-dessus, il a certes pensé être l'objet d'une tentative de vol et que l'argent dont il réclamait la restitution lui appartenait, le moyen utilisé pour parvenir à ses fins était totalement disproportionné, compte tenu des circonstances. S'ajoute la futilité du mobile, à savoir obtenir une somme de CHF 200.-, au moyen d'une arme chargée.</w:t>
      </w:r>
    </w:p>
    <w:p>
      <w:r>
        <w:t>S'agissant des autres infractions pour lesquelles il a été condamné et qu'il ne conteste pas, il s'en est également pris à l'intégrité physique de ses deux victimes, étant précisé</w:t>
      </w:r>
    </w:p>
    <w:p>
      <w:r>
        <w:t>- 22/27 - P/9517/2016 que les conséquences de sa colère mal maîtrisée auraient pu être dramatiques. Par son trafic de stupéfiants, qui portait sur des quantités importantes et s'étalait sur une longue période pénale, il a agi au mépris de la santé, voire de la vie, de nombreux consommateurs, poussé par un mobile égoïste, soit par appât du gain et pour assurer sa propre consommation. Il a enfin fait fi des normes en vigueur, tant en matière de circulation routière que sur les armes.</w:t>
      </w:r>
    </w:p>
    <w:p>
      <w:r>
        <w:t>Si l'appelant a soudainement réagi lorsqu'il a aperçu ou cru apercevoir l'une des victimes tentant de s'accaparer son portefeuille, cela ne l'avait pas mis dans un état rendu excusable par les circonstances. En effet, son état d'alcoolisation et sa toxicomanie ne se sont pas imposés à lui. Par ailleurs, la tentative de vol dont il s'est cru victime par les deux femmes, alors que lui-même était armé, ne justifiait aucunement une réaction d'une telle ampleur, totalement injustifiée, alors même qu'au final, son porte-monnaie n'avait pas subi d'atteinte. Un homme raisonnable, placé dans la même situation, n'aurait certainement pas réagi de la même manière. Bien que les circonstances aient pu le surprendre, elles ne sauraient correspondre à une émotion excusable.</w:t>
      </w:r>
    </w:p>
    <w:p>
      <w:r>
        <w:t>La circonstance atténuante de l'émotion violente sera donc écartée, tout comme les autres circonstances atténuantes de l'art. 48 CP, lesquelles ne sont ni réalisées ni plaidées.</w:t>
      </w:r>
    </w:p>
    <w:p>
      <w:r>
        <w:t>Comme l'a relevé le Tribunal correctionnel, l'enfance, mais surtout la toxicomanie de l'appelant expliquent en partie ses agissements en matière de stupéfiants.</w:t>
      </w:r>
    </w:p>
    <w:p>
      <w:r>
        <w:t>Ainsi, contrairement à ce que soulève l'appelant, il a d'ores et déjà été tenu compte par les premiers juges dans la fixation de la peine de son état de toxico-dépendance, lequel l'a en particulier amené à récidiver après quatre mois de détention préventive et malgré les mesures de substitution imposées par le Ministère public lors de la libération provisoire accordée.</w:t>
      </w:r>
    </w:p>
    <w:p>
      <w:r>
        <w:t>Par ailleurs, le prononcé d'une mesure d'expulsion du territoire Suisse, laquelle n'est d'ailleurs pas contestée pas l'appelant, n'est pas un critère dont il y a lieu de tenir compte lors de la fixation de la peine.</w:t>
      </w:r>
    </w:p>
    <w:p>
      <w:r>
        <w:t>Sa responsabilité est pleine et entière.</w:t>
      </w:r>
    </w:p>
    <w:p>
      <w:r>
        <w:t>Au cours de la procédure, l'appelant s'est montré collaborant, en particulier s'agissant du trafic de stupéfiants. Il semble par ailleurs avoir pris conscience de la gravité de ses actes, reconnaissant être allé trop loin et avoir fait beaucoup de mal aux deux plaignantes. Son comportement en prison semble totalement adéquat, étant précisé qu'il y travaille depuis le 10 mai 2017 et qu'il a récemment entrepris un suivi psychothérapeutique.</w:t>
      </w:r>
    </w:p>
    <w:p>
      <w:r>
        <w:t>- 23/27 - P/9517/2016</w:t>
      </w:r>
    </w:p>
    <w:p>
      <w:r>
        <w:t>Il y a concours d'infractions, hormis celle à l'art. 19a LStup passible d'une amende, et étant rappelé la peine plancher d'un an du cas grave de l'art. 19 al. 2 LStup, ce qui justifie une augmentation de la peine de l'infraction la plus grave dans une juste proportion.</w:t>
      </w:r>
    </w:p>
    <w:p>
      <w:r>
        <w:t>L'appelant a de très nombreux antécédents, spécifiques pour la plupart.</w:t>
      </w:r>
    </w:p>
    <w:p>
      <w:r>
        <w:t>Au regard de l'ensemble de ces éléments, le prévenu sera condamné à une peine privative de liberté de trois ans et six mois. L'appel sera en particulier admis dans la mesure de ce qui précède et le jugement entrepris modifié dans ce sens.</w:t>
      </w:r>
    </w:p>
    <w:p>
      <w:r>
        <w:rPr>
          <w:b/>
        </w:rPr>
        <w:t>E. 4</w:t>
      </w:r>
    </w:p>
    <w:p>
      <w:r>
        <w:t>L'appelant ayant été mis au bénéfice d'une exécution anticipée de peine, il n'y a pas lieu de prononcer son maintien en détention pour motifs de sûreté.</w:t>
      </w:r>
    </w:p>
    <w:p>
      <w:r>
        <w:rPr>
          <w:b/>
        </w:rPr>
        <w:t>E. 5</w:t>
      </w:r>
    </w:p>
    <w:p>
      <w:r>
        <w:t>L'appel ayant été admis pour l'essentiel, A______ supportera le tiers des frais de la procédure d'appel, le solde étant laissé à la charge de l'Etat (art. 428 CPP).</w:t>
      </w:r>
    </w:p>
    <w:p>
      <w:r>
        <w:t>Le prévenu se trouvant condamné pour tentative de contrainte, il ne se justifie pas de revoir la répartition des frais de première instance.</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débours de l'étude inclus (cf. décision de la Cour des plaintes du Tribunal pénal fédéral BB.2013.127 du 4 décembre 2013 consid. 3/4.2-4.4), de CHF 125.- pour un collaborateur (let. b). En cas d'assujettissement, l'équivalent de la TVA est versé en sus.</w:t>
      </w:r>
    </w:p>
    <w:p>
      <w:r>
        <w:t>6.2.2. Seules les heures nécessaires à la défense devant les juridictions cantonales sont retenues et sont appréciées en fonction notamment de la nature, de l'importance</w:t>
      </w:r>
    </w:p>
    <w:p>
      <w:r>
        <w:t>- 24/27 - P/9517/2016 et des difficultés de la cause, de la valeur litigieuse, de la qualité du travail fourni et du résultat obtenu (art. 16 al. 2 RAJ).</w:t>
      </w:r>
    </w:p>
    <w:p>
      <w:r>
        <w:t>6.2.3. Une majoration forfaitaire de 20% est également due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6.2.4.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w:t>
      </w:r>
    </w:p>
    <w:p>
      <w:r>
        <w:rPr>
          <w:b/>
        </w:rPr>
        <w:t>E. 6.3</w:t>
      </w:r>
    </w:p>
    <w:p>
      <w:r>
        <w:t>En l'espèce, l'activité de Me B______ est en adéquation avec la nature, l'importance et la difficulté de la cause à l'exception d'une heure et 30 minutes consacrée à l'analyse de l'opportunité de l'appel, à la lecture du jugement de première instance et à la rédaction de l'annonce et de la déclaration d'appel ainsi que de la requête en exécution anticipée de peine, activités couvertes par la majoration forfaitaire et n'ayant pas nécessité de développement ou de motivation particulière, ainsi qu'une heure et 30 minutes pour deux conférences avec le client à Champ- Dollon les 22 et 30 mai 2017, dans la mesure ou une heure et 15 minutes seront indemnisées pour une visite intervenue le 9 mai 2017 et compte tenu de la jurisprudence claire de Cour de céans à ce propos. Il convient d'y ajouter la durée de l'audience d'appel de deux heures et 30 minutes, soit un total intermédiaire de CHF 2'531.25 (soit 20 heures et 15 minutes à CHF 125.-/heure), ainsi que le forfait pour l'activité diverse à 10%, soit CHF 235.10, compte tenu de l'activité déployée et indemnisée en première instance pour plus de 46 heures, et la TVA à 8%, soit CHF 222.75. Ainsi, l'indemnisation requise sera accordée à hauteur de CHF 3'007.10. * * * * *</w:t>
      </w:r>
    </w:p>
    <w:p>
      <w:r>
        <w:t>- 25/27 - P/9517/2016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