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AARP/345/2018 vom 29. Oktober 2018</w:t>
      </w:r>
    </w:p>
    <w:p>
      <w:r>
        <w:t>GE Cour de justice, 2018-10-29, FR</w:t>
      </w:r>
    </w:p>
    <w:p>
      <w:r>
        <w:rPr>
          <w:b/>
        </w:rPr>
        <w:t xml:space="preserve">Quelle: </w:t>
      </w:r>
      <w:r>
        <w:t>https://mcp.opencaselaw.ch/entscheid/ge_gerichte_AARP_345_2018</w:t>
      </w:r>
    </w:p>
    <w:p>
      <w:r>
        <w:t>FR: GE_GERICHTE AARP/345/2018 du 29 octobre 2018</w:t>
      </w:r>
    </w:p>
    <w:p>
      <w:r>
        <w:t>IT: GE_GERICHTE AARP/345/2018 del 29 ottobre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t>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2.4</w:t>
      </w:r>
    </w:p>
    <w:p>
      <w:r>
        <w:t>; cf. Message relatif à l'unification du droit de la procédure pénale du 21 décembre 2005, FF 2006 1057, p. 1313). Il est donc concevable d'indemniser, dans une mesure réduite, le prévenu qui doit supporter l'ensemble des frais de justice (A. KUHN / Y. JEANNERET [éds.], Commentaire romand : Code de procédure pénale suisse, Bâle 2011, n. 5 ad art. 430 CPP). Lorsque la condamnation aux frais n'est que partielle, la réduction de l'indemnité devrait s'opérer dans la même mesure (arrêts du Tribunal fédéral 6B_548/2018 du 18 juillet 2018 consid. 1.1.2 ; 6B_1238/2017 du 12 avril 2018 consid. 2.1 ; 6B_385/2017 du 5 décembre 2017 consid. 2.1).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p. 357 ; arrêts du Tribunal fédéral 6B_548/2018 du 18 juillet 2018 consid. 1.1.2 ; 6B_1238/2017 du 12 avril 2018 consid. 2.1).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6.1.2.2. La condamnation d'un prévenu acquitté à supporter tout ou partie des frais, respectivement le refus de lui allouer une indemnisation à raison du préjudice subi par la procédure pénale, doit respecter la présomption d'innocence, consacré par les art. 32 al. 1 Cst. et 6 par. 2 CEDH. Celle-ci interdit de rendre une décision défavorable au prévenu libéré en laissant entendre que ce dernier serait néanmoins coupable des infractions qui lui étaient reprochées.</w:t>
      </w:r>
    </w:p>
    <w:p>
      <w:r>
        <w:t>- 15/19 - P/13486/2012 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(ATF 119 Ia 332 consid. 1b p. 334 ; ATF 116 Ia 162 consid. 2c p. 168 ; arrêts du Tribunal fédéral 6B_1176/2015 du 23 novembre 2016 consid. 1.1 ; 6B_203/2015 du 16 mars 2016 consid. 1.1 ; 6B_300/2012 du 10 juin 2013 consid. 2.4 ; 6B_331/2012 du 22 octobre 2012 consid. 2.3). 6.1.3. L'indemnité fondée sur l'art. 429 al. 1 let. a CPP pour les dépenses obligatoires occasionnées par la procédure ne produit pas d'intérêts (ATF 143 IV 495 consid. 2.2.4 ; arrêt du Tribunal fédéral 6B_1008/2017 du 5 avril 2018 consid. 2.3 in fine).</w:t>
      </w:r>
    </w:p>
    <w:p>
      <w:r>
        <w:t>6.2.1. A l'aune de la ventilation des frais de la procédure, il y a lieu d'accorder à l'intimé 4/5èmes de l'indemnité arrêtée ex aequo et bono pour la procédure de première instance, soit CHF 56'000.-, aucun intérêt n'étant dû pour le surplus. L'intimé n'a en effet, à juste titre, pas critiqué le raisonnement du premier juge ayant considéré que l'activité fournie par le conseil du prévenu, par 273 heures et 33 minutes, de même que le montant de CHF 106'719.20 excédaient le coût d'une défense raisonnable en l'espèce, ni en conséquence une indemnisation de CHF 70'000.-, correspondant à une activité de l'ordre de 175 heures, audience de jugement comprise, au tarif horaire de CHF 400.-. Dite indemnisation, toutefois réduite d'1/5ème, apparait conforme aux éléments de la procédure à prendre en compte et sera confirmée. Il sera enfin rappelé que l'indemnité allouée à l'intimé en première instance tenait compte de son acquittement, non remis en cause en appel par le Ministère public, en lien avec le plus gros volet des faits reprochés, lié à la plainte de L______. Cette indemnité ne saurait partant être davantage réduite, sous peine de violer le principe de la présomption d'innocence.</w:t>
      </w:r>
    </w:p>
    <w:p>
      <w:r>
        <w:t>6.2.2. Dans la mesure où l'intimé succombe en appel, il ne saurait prétendre à quelconque indemnisation pour ses frais de défense.</w:t>
      </w:r>
    </w:p>
    <w:p>
      <w:r>
        <w:rPr>
          <w:b/>
        </w:rPr>
        <w:t>E. 3</w:t>
      </w:r>
    </w:p>
    <w:p>
      <w:r>
        <w:t>3.1.1. Commet un abus de confiance au sens de l'art. 138 ch. 1 al. 1 CP celui qui, pour se procurer ou procurer à un tiers un enrichissement illégitime, se sera approprié une chose mobilière appartenant à autrui et qui lui avait été confiée.</w:t>
      </w:r>
    </w:p>
    <w:p>
      <w:r>
        <w:t>L'appropriation implique que l'auteur veut, d'une part, la dépossession durable du propriétaire et, d'autre part, qu'il entend s'attribuer la chose, au moins pour un temps ; cette volonté doit se manifester par des signes extérieurs. L'auteur incorpore le bien à son patrimoine, pour le garder, le consommer, l'aliéner ou pour en disposer (le prêter, l'échanger, le mettre en gage, le donner, etc.) comme le ferait un propriétaire (A. MACALUSO / L. MOREILLON / N. QUELOZ [éds], Commentaire romand, Code pénal II, vol. II, Partie spéciale : art. 111-392 CP, Bâle 2017, n. 28 ad art. 138). Autrement dit, l'auteur par un comportement objectivement constatable, se conduit comme s'il était le propriétaire de la chose et ceci en violation de l'accord qui lui a permis d'en acquérir la possession (ATF 121 IV 25 consid. 1c).</w:t>
      </w:r>
    </w:p>
    <w:p>
      <w:r>
        <w:t>Il faut encore que la chose ait été confiée à l'auteur, ce qui signifie qu'elle doit lui avoir été remise ou laissée pour qu'il l'utilise de manière déterminée, selon un accord expresse ou tacite, dans l'intérêt d'autrui, en particulier pour la conserver, l'administrer ou la livrer. Il existe entre l'auteur et la victime un rapport de confiance</w:t>
      </w:r>
    </w:p>
    <w:p>
      <w:r>
        <w:t>- 9/19 - P/13486/2012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(ATF 120 IV 276 consid. 2).</w:t>
      </w:r>
    </w:p>
    <w:p>
      <w:r>
        <w:t>3.1.2. Du point de vue subjectif, l'auteur doit avoir agi intentionnellement et dans un dessein d'enrichissement illégitime. Cette dernière condition est remplie lorsque celui qui devait tenir en tout temps le bien confié à disposition de l'ayant droit l'a utilisé à son profit ou au profit d'un tiers sans avoir à tout moment la volonté et la possibilité de le restituer immédiatement (ATF 133 IV 21 consid. 6.1.2 ; 118 IV 27 consid. 3a p. 29 s., 32 consid. 2a). S'il devait le tenir à disposition de l'ayant droit à un moment déterminé ou à l'échéance d'un délai déterminé, il doit avoir eu la volonté et la possibilité de le restituer à ce moment ou à cette échéance (ATF 118 IV 27 consid. 3a). Le dessein d'enrichissement peut être réalisé par dol éventuel (ATF 118 IV 27 consid. 2a).</w:t>
      </w:r>
    </w:p>
    <w:p>
      <w:r>
        <w:rPr>
          <w:b/>
        </w:rPr>
        <w:t>E. 3.2</w:t>
      </w:r>
    </w:p>
    <w:p>
      <w:r>
        <w:t>Il est établi, à teneur des pièces du dossier que E______, ayant pour seul administrateur l'intimé, a mis en garantie un bateau F______ dans le cadre d'une convention de cession d'actions conclue le 30 mars 2015 entre H______ et I______ d'une part et C______ d'autre part. A teneur de ladite convention, E______ indiquait être "seule propriétaire" des quatre bateaux cédés aux fins de garantie, pour une valeur totale de CHF 345'000.-. Dès sa signature, H______ et I______ en devenaient copropriétaires, par l'intermédiaire de E______, jusqu'au paiement du prix de vente des actions.</w:t>
      </w:r>
    </w:p>
    <w:p>
      <w:r>
        <w:t>Or, comme en attestent les déclarations concordantes des parties, le bateau en question a été livré à E______ par D______ dans un but de promotion et de vente à des tiers. L'intimé a concédé lors de ses premières déclarations que le bateau était constamment resté "au nom" de la société slovène, qui en avait ensuite demandé la restitution, ce qui a été chose faite, après remboursement à E______ de divers frais découlant notamment de l'importation en Suisse.</w:t>
      </w:r>
    </w:p>
    <w:p>
      <w:r>
        <w:t>Ce bateau a ainsi été confié à E______, qui ne pouvait en disposer que selon les termes convenus avec D______ et en aucun cas pour être mis en garantie, qui plus est pour le compte d'une autre société. Les éléments constitutifs de l'art. 138 al. 1 1ère phrase CP sont réalisés, E______ ayant disposé du navire comme si elle en était propriétaire, alors que tel n'était pas le cas. C______ s'est donc trouvée enrichie temporairement du bateau remis en garantie pour son compte par E______.</w:t>
      </w:r>
    </w:p>
    <w:p>
      <w:r>
        <w:t>Comme elle le reconnait implicitement, E______ n'a pas été en mesure de le restituer en tout temps, puisqu'il dépendait alors du bon vouloir des créanciers en faveur</w:t>
      </w:r>
    </w:p>
    <w:p>
      <w:r>
        <w:t>- 10/19 - P/13486/2012 duquel ce bateau était mis en gage d'accepter son remplacement par une autre valeur, consentement sur lequel il n'avait que peu d'emprise.</w:t>
      </w:r>
    </w:p>
    <w:p>
      <w:r>
        <w:t>L'élément subjectif est également réalisé, l'intimé s'étant prévalu jusqu'aux débats de première instance, de ce que E______ était devenue propriétaire du bateau. Il ne saurait par conséquent être suivi lorsqu'il affirme qu'il s'agissait d'une simple erreur, corrigée par la suite.</w:t>
      </w:r>
    </w:p>
    <w:p>
      <w:r>
        <w:t>Il y a donc lieu de reconnaître l'intimé coupable d'abus de confiance et de réformer le jugement entrepris.</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même étrangers (ATF 105 IV 225 consid. 2),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w:t>
      </w:r>
    </w:p>
    <w:p>
      <w:r>
        <w:rPr>
          <w:b/>
        </w:rPr>
        <w:t>E. 4.2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w:t>
      </w:r>
    </w:p>
    <w:p>
      <w:r>
        <w:t>- 11/19 - P/13486/2012 plus lourd que des actes de nature différente (ATF 135 IV 87 consid. 2). Les antécédents judiciaires ne sauraient toutefois conduire à une augmentation massive de la peine, parce que cela reviendrait à condamner une deuxième fois pour des actes déjà jugés (ATF 120 IV 136 consid. 3b).</w:t>
      </w:r>
    </w:p>
    <w:p>
      <w:r>
        <w:t>4.3.1. Les nouvelles dispositions sur le droit des sanctions sont entrées en vigueur le 1er janvier 2018. Cette réforme marque globalement un durcissement. En particulier, la peine pécuniaire est désormais limitée à 180 jours (art. 34 al. 1 CP).</w:t>
      </w:r>
    </w:p>
    <w:p>
      <w:r>
        <w:t>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w:t>
      </w:r>
    </w:p>
    <w:p>
      <w:r>
        <w:t>L'ancien droit est donc applicable.</w:t>
      </w:r>
    </w:p>
    <w:p>
      <w:r>
        <w:t>4.3.2. 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4.3.3.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w:t>
      </w:r>
    </w:p>
    <w:p>
      <w:r>
        <w:t>4.3.4.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 arrêt du Tribunal fédéral 6B_200/2009 du 27 août 2009 consid. 7.1). Le montant du jour-amende ne peut être inférieur à CHF 10.- (ATF 135 IV 180 consid. 1.4.2).</w:t>
      </w:r>
    </w:p>
    <w:p>
      <w:r>
        <w:t>4.3.5. Conformément à l'art. 42 al. 1 aCP, le juge suspend en règle générale l'exécution d'une peine pécuniaire, d'un travail d'intérêt général ou d'une peine</w:t>
      </w:r>
    </w:p>
    <w:p>
      <w:r>
        <w:t>- 12/19 - P/13486/2012 privative de liberté de six mois au moins et de deux ans au plus, lorsqu'une peine ferme ne paraît pas nécessaire pour détourner l'auteur d'autres crimes ou délits.</w:t>
      </w:r>
    </w:p>
    <w:p>
      <w:r>
        <w:t>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t>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 4.2.1).</w:t>
      </w:r>
    </w:p>
    <w:p>
      <w:r>
        <w:rPr>
          <w:b/>
        </w:rPr>
        <w:t>E. 4.4</w:t>
      </w:r>
    </w:p>
    <w:p>
      <w:r>
        <w:t>La faute de l'appelant est moyenne. Il s'en est pris au patrimoine d'une société avec laquelle il était en affaires et a disposé sans droit, pendant plus d'une année, d'un bateau d'une valeur de plusieurs dizaines de milliers de francs qui lui avait été confié, pour servir les intérêts de sa propre société.</w:t>
      </w:r>
    </w:p>
    <w:p>
      <w:r>
        <w:t>Sa collaboration à la procédure a été relativement bonne, mais sa prise de conscience nulle, celui-ci persistant à affirmer qu'il était devenu propriétaire du bateau et avait le droit d'en disposer.</w:t>
      </w:r>
    </w:p>
    <w:p>
      <w:r>
        <w:t>Il a en particulier un antécédent relativement récent pour détournement de valeurs patrimoniales mises sous mains de la justice.</w:t>
      </w:r>
    </w:p>
    <w:p>
      <w:r>
        <w:t>Au vu de ce qui précède, il se justifie de prononcer une peine pécuniaire de 60 jours- amende à CHF 30.- l'unité, laquelle consacre une correcte application des principes précités et est adaptée à la situation financière de l’intimé.</w:t>
      </w:r>
    </w:p>
    <w:p>
      <w:r>
        <w:t>Le sursis, dont les conditions peuvent encore être considérées comme réalisées en l'espèce, sera accordé à l'intimé, le pronostic ne paraissant pas clairement défavorable. La durée du délai d'épreuve sera fixée à trois ans afin de le dissuader d'une récidive.</w:t>
      </w:r>
    </w:p>
    <w:p>
      <w:r>
        <w:t>Le jugement de première instance sera réformé en conséquence.</w:t>
      </w:r>
    </w:p>
    <w:p>
      <w:r>
        <w:rPr>
          <w:b/>
        </w:rPr>
        <w:t>E. 5.1</w:t>
      </w:r>
    </w:p>
    <w:p>
      <w:r>
        <w:t>Selon les art. 426 al. 1 et 428 al. 1 CPP, les frais de la procédure de première instance et d'appel sont mis à la charge des parties dans la mesure où elles succombent. Pour déterminer si une partie succombe ou obtient gain de cause, il faut</w:t>
      </w:r>
    </w:p>
    <w:p>
      <w:r>
        <w:t>- 13/19 - P/13486/2012 examiner dans quelle mesure ses conclusions sont admises en deuxième instance (arrêts du Tribunal fédéral 6B_620/2016 du 17 mai 2017 consid. 2.1.1 ; 6B_136/2016 du 23 janvier 2017 consid. 4.1.2).</w:t>
      </w:r>
    </w:p>
    <w:p>
      <w:r>
        <w:t>5.2.1. Compte tenu du verdict de culpabilité prononcé en appel en lien avec les faits dénoncés par D______, il y a lieu de revoir les frais fixés par le tribunal de première instance (art. 428 al. 3 CPP) et d'en faire supporter 1/5ème à l'intimé, l'instruction de ce complexe de faits n'ayant débuté qu'au mois de novembre 2016, alors que la procédure en lien avec les autres faits reprochés à l'intimé - et pour lesquels il a été acquitté - a duré presque six ans et a donné lieu à de nombreux actes d'instruction.</w:t>
      </w:r>
    </w:p>
    <w:p>
      <w:r>
        <w:t>5.2.2. En appel, l'intimé succombe entièrement. Il se justifie partant de lui faire supporter la totalité des frais de la procédure, qui comprennent un émolument de CHF 2'500.- (art. 428 CPP).</w:t>
      </w:r>
    </w:p>
    <w:p>
      <w:r>
        <w:rPr>
          <w:b/>
        </w:rPr>
        <w:t>E. 6</w:t>
      </w:r>
    </w:p>
    <w:p>
      <w:r>
        <w:t>6.1.1. À teneur de l'art. 429 CPP, le prévenu a notamment droit, s'il bénéficie d'une ordonnance de classement, à une indemnité pour les dépenses occasionnées par l'exercice raisonnable de ses droits de procédure (let. a.). La question de l'indemnisation du prévenu (art. 429 CPP) doit être traitée en relation avec celle des frais (art. 426 CPP). Si l'État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(ATF 137 IV 352 consid. 2.4.2 ; arrêts du Tribunal fédéral 6B_385/2017 du 5 décembre 2017 consid. 2.1 ; 6B_620/2016 du 17 mai 2017 consid. 2.2.2 et les références citées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6B_385/2017 du 5 décembre 2017 consid. 2.1 ; 6B_67/2016 du 31 octobre 2016 consid. 1.2 ; 6B_187/2015 du 28 avril 2015 consid. 6.1.2).</w:t>
      </w:r>
    </w:p>
    <w:p>
      <w:r>
        <w:t>Lorsque la condamnation aux frais n'est que partielle, la réduction de l'indemnité devrait s'opérer dans la même mesure (arrêt du Tribunal fédéral 6B_1191/2016 du 12 octobre 2017 consid. 2.1).</w:t>
      </w:r>
    </w:p>
    <w:p>
      <w:r>
        <w:t>6.1.2.1. En vertu de l'art. 430 al. 1 let. a CPP, l'autorité pénale peut réduire ou refuser l'indemnité pour les dépenses occasionnées par l'exercice raisonnable de ses droits de procédure ou la réparation du tort moral (art. 429 al. 1 CPP) lorsque le prévenu a provoqué illicitement et fautivement l'ouverture de la procédure ou a rendu plus difficile la conduite de celle-ci.</w:t>
      </w:r>
    </w:p>
    <w:p>
      <w:r>
        <w:t>- 14/19 - P/13486/2012 Cette disposition est le pendant de l'art. 426 al. 2 CPP en matière de frais. Une mise à charge des frais selon l'art. 426 al. 1 et 2 CPP exclut en principe le droit à une indemnisation.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Il en résulte qu'en cas de condamnation aux frais, il n'y a pas lieu d'octroyer de dépens ou de réparer le tort moral (ATF 137 IV 352 consid. 2.4.2 p. 357 ; arrêts du Tribunal fédéral 6B_548/2018 du 18 juillet 2018 consid. 1.1.2 ; 6B_385/2017 du 5 décembre 2017 consid. 2.1).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6B_300/2012 du 10 juin 2013 consid.</w:t>
      </w:r>
    </w:p>
    <w:p>
      <w:r>
        <w:rPr>
          <w:b/>
        </w:rPr>
        <w:t>E. 7.1</w:t>
      </w:r>
    </w:p>
    <w:p>
      <w:r>
        <w:t>L'art.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l'art. 429 al. 1 let. a ou b CPP, alors qu'il doit simultanément supporter des frais de procédure selon l'art. 426 CPP (une compensation est en revanche exclue en cas</w:t>
      </w:r>
    </w:p>
    <w:p>
      <w:r>
        <w:t>- 16/19 - P/13486/2012 d'indemnité pour tort moral selon l'art. 429 al. 1 let. c CPP ; ATF 139 IV 243 consid. 5 p. 244 s. ; arrêt du Tribunal fédéral 6B_385/2017 du 5 décembre 2017 consid. 6).</w:t>
      </w:r>
    </w:p>
    <w:p>
      <w:r>
        <w:rPr>
          <w:b/>
        </w:rPr>
        <w:t>E. 7.2</w:t>
      </w:r>
    </w:p>
    <w:p>
      <w:r>
        <w:t>Cette créance de l'intimé envers l'Etat sera compensée avec celle portant sur les frais de procédure de première instance et d'appel mis à sa charge.</w:t>
      </w:r>
    </w:p>
    <w:p>
      <w:r>
        <w:t>* * * * *</w:t>
      </w:r>
    </w:p>
    <w:p>
      <w:r>
        <w:t>- 17/19 - P/13486/2012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