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AARP/345/2017 vom 30. Oktober 2017</w:t>
      </w:r>
    </w:p>
    <w:p>
      <w:r>
        <w:t>GE Cour de justice, 2017-10-30, FR</w:t>
      </w:r>
    </w:p>
    <w:p>
      <w:r>
        <w:rPr>
          <w:b/>
        </w:rPr>
        <w:t xml:space="preserve">Quelle: </w:t>
      </w:r>
      <w:r>
        <w:t>https://mcp.opencaselaw.ch/entscheid/ge_gerichte_AARP_345_2017</w:t>
      </w:r>
    </w:p>
    <w:p>
      <w:r>
        <w:t>FR: GE_GERICHTE AARP/345/2017 du 30 octobre 2017</w:t>
      </w:r>
    </w:p>
    <w:p>
      <w:r>
        <w:t>IT: GE_GERICHTE AARP/345/2017 del 30 ottobre 2017</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w:t>
      </w:r>
    </w:p>
    <w:p>
      <w:r>
        <w:t>- 4/8 - P/20889/2016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t>1.3.1. 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w:t>
      </w:r>
    </w:p>
    <w:p>
      <w:r>
        <w:t>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"restreint"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w:t>
      </w:r>
    </w:p>
    <w:p>
      <w:r>
        <w:t>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t>1.3.2. Partant, les pièces nouvelles produites par l'appelant avec son mémoire d'appel, ainsi que le nouvel allégué selon lequel il ne serait pas fumeur, ne seront pas pris en considération, étant observé au demeurant que le fait de ne pas être "fumeur" au sens où on l'entend communément, soit consommateur régulier de cigarettes, n'exclut pas nécessairement une consommation occasionnelle de haschisch.</w:t>
      </w:r>
    </w:p>
    <w:p>
      <w:r>
        <w:t>- 5/8 - P/20889/2016</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2.2</w:t>
      </w:r>
    </w:p>
    <w:p>
      <w:r>
        <w:t>Il est clair que la mention de l'appelant en qualité de destinataire du colis postal contenant le stupéfiant en cause est un indice sérieux de ce qu'il était bien censé la recevoir, indice qui ne saurait être écarté trop légèrement. Il est vrai aussi que le fait que le paiement de la drogue ne résulte pas de ses relevés bancaires ou décompte de carte de crédit n'est pas particulièrement probant, dès lors qu'il n'est nullement établi que le règlement a été effectué par l'un ou l'autre moyen. De même, il est fort peu plausible que l'expéditeur du colis destiné, par hypothèse, à un homonyme de l'appelant ait pu, comme par hasard, mentionner par erreur une adresse où un A______z vivait aussi. Cela étant, le dossier contient d'autres éléments de nature à jeter le doute :</w:t>
      </w:r>
    </w:p>
    <w:p>
      <w:r>
        <w:t>- 6/8 - P/20889/2016 Il n'est guère crédible que l'appelant, s'il avait véritablement attendu la livraison illicite, aurait pris le risque de passer commande pour une période lors de laquelle il ne pouvait réceptionner le colis, en raison de ses vacances, fixées de longue date. Cette circonstance, donne un poids certain à l'hypothèse selon laquelle un tiers aurait conçu d'utiliser sa boîte aux lettres, lui faisant supporter le risque de l'identification du colis lors du contrôle à la douane. Une telle hypothèse d'usurpation peut être prise en compte car il ne s'agit pas d'un nouvel allégué à proprement parler, et le fait que la production en appel de coupures de presse sur le sujet ait été refusée n'empêche pas de tenir compte de ce que les "arnaques" évoquées existent notoirement. Considérée indépendamment, l'erreur d'orthographe dans le patronyme n'est pas déterminante, mais elle s'inscrit bien dans la logique d'une telle usurpation et la renforce donc. Par ailleurs, on ne peut faire abstraction de la situation personnelle de l'appelant qui est âgé de presque 60 ans, n'a pas d'antécédent et a un emploi stable. Ces circonstances n'excluent pas qu'il puisse être consommateur de haschich, fût-ce occasionnel, mais donnent du corps à ses protestations. Il en va de même de ses problèmes d'ordre respiratoire. Il y a enfin l'énergie avec laquelle l'appelant conteste la contravention, s'exposant à des inconvénients, notamment en termes de frais de procédure et d'avocat, bien plus élevés, en cas d'échec, que le montant de l'amende et des frais initiaux. Cette détermination n'a qu'une valeur d'indice faible à décharge, tant elle est fréquente y compris dans des affaires où la culpabilité est en définitive retenue, mais il s'agit tout de même d'un élément supplémentaire à l'appui de la défense. En définitive, force est de constater que l'hypothèse de la culpabilité n'est pas plus plausible que celle contraire, de sorte que, dans le doute, il convient de statuer en faveur de l'appelant. Le jugement entrepris est partant annulé et l'appelant acquitté.</w:t>
      </w:r>
    </w:p>
    <w:p>
      <w:r>
        <w:rPr>
          <w:b/>
        </w:rPr>
        <w:t>E. 3.1</w:t>
      </w:r>
    </w:p>
    <w:p>
      <w:r>
        <w:t>Selon l'art. 429 al. 1 let. a et b CPP, le prévenu au bénéfice d'une ordonnance de classement a droit à une indemnité pour les dépenses occasionnées par l'exercice raisonnable de ses droits de procédure. Encore faut-il que l'assistance d'un avocat ait été nécessaire, compte tenu de la complexité de l'affaire en fait ou en droit, et que le volume de travail de l'avocat était ainsi justifié (Message relatif à l'unification du droit de la procédure pénale du 21 décembre 2005, FF 2006 1309). Les honoraires d'avocat se calculent selon le tarif local, à condition qu'ils restent proportionnés (N. SCHMID, Schweizerische Strafprozessordnung : Praxiskommentar, Zurich 2009, n. 7 ad art. 429).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w:t>
      </w:r>
    </w:p>
    <w:p>
      <w:r>
        <w:t>- 7/8 - P/20889/2016 prévenu (M. NIGGLI / M. HEER / H. WIPRÄCHTIGER, Schweizerische Strafprozessordnung / Schweizerische Jugendstrafprozessordnung, Basler Kommentar StPO/JStPO, Bâle 2011, n. 19 ad art. 429). S'il s'écarte notablement de la note d'honoraires présentée, il doit en motiver les raisons (M. NIGGLI / M. HEER / H. WIPRÄCHTIGER, op. cit., n. 18 ad art. 429). À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w:t>
      </w:r>
    </w:p>
    <w:p>
      <w:r>
        <w:rPr>
          <w:b/>
        </w:rPr>
        <w:t>E. 3.2</w:t>
      </w:r>
    </w:p>
    <w:p>
      <w:r>
        <w:t>Apparemment, l'appelant ne maîtrise guère le français, ayant rédigé son opposition en langue ______ et requis la présence d'un interprète à l'audience de première instance. Vu sa profession, il peut être retenu qu'il n'a pas de compétences particulières en matière juridique. On peut partant admettre que, confronté au mystère à première vue accablant de l'envoi illicite à son nom, il ait ressenti le besoin d'être assisté par un avocat, quand bien même il n'était question que d'une contravention. La nécessité du recours à un défenseur privé est donc admise. Le taux horaire pratiqué est conforme aux usages genevois. L'activité facturée pour la première instance parait raisonnable. Tel n'est en revanche pas le cas de celle relative à la procédure d'appel. Il était en effet excessif de consacrer huit heures à la rédaction d'un mémoire consistant pour l'essentiel à reprendre les arguments déjà développés devant le Tribunal de police, et partant supposés maîtrisés par l'avocat, outre le rappel de la jurisprudence relative à la portée de la présomption d'innocence, jurisprudence également supposée connue de l'avocat comme de la CPAR. Une telle activité est disproportionnée à la difficulté – purement factuelle et aisément circonscrite – et à l'importance de la cause. En définitive, quatre heures auraient dû suffire pour produire une écriture développant efficacement les points pertinents. La note d'honoraires pour l'activité d'appel doit dès lors être réduite de CHF 1'512.- correspondant à quatre heures au taux horaire de CHF 350.- + la TVA de sorte que l'indemnité qu'il convient d'allouer à l'appelant au titre de l'art. 429 al. 1 let. a CPP ascende en définitive à CHF 4'159.- (arrondi).</w:t>
      </w:r>
    </w:p>
    <w:p>
      <w:r>
        <w:t>- 8/8 - P/20889/2016</w:t>
      </w:r>
    </w:p>
    <w:p>
      <w:r>
        <w:rPr>
          <w:b/>
        </w:rPr>
        <w:t>E. 4</w:t>
      </w:r>
    </w:p>
    <w:p>
      <w:r>
        <w:t>Vu l'issue de la procédure, les frais en seront intégralement laissés à la charge de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