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AARP/344/2016 vom 25. August 2016</w:t>
      </w:r>
    </w:p>
    <w:p>
      <w:r>
        <w:t>GE Cour de justice, 2016-08-25, FR</w:t>
      </w:r>
    </w:p>
    <w:p>
      <w:r>
        <w:rPr>
          <w:b/>
        </w:rPr>
        <w:t xml:space="preserve">Quelle: </w:t>
      </w:r>
      <w:r>
        <w:t>https://mcp.opencaselaw.ch/entscheid/ge_gerichte_AARP_344_2016</w:t>
      </w:r>
    </w:p>
    <w:p>
      <w:r>
        <w:t>FR: GE_GERICHTE AARP/344/2016 du 25 août 2016</w:t>
      </w:r>
    </w:p>
    <w:p>
      <w:r>
        <w:t>IT: GE_GERICHTE AARP/344/2016 del 25 agosto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- 22/41 - P/6094/2008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3.1</w:t>
      </w:r>
    </w:p>
    <w:p>
      <w:r>
        <w:t>L'art. 138 al. 1 CP sanctionne à son ch. 1 al. 1 celui qui, pour se procurer ou procurer à un tiers un enrichissement illégitime, se sera approprié une chose</w:t>
      </w:r>
    </w:p>
    <w:p>
      <w:r>
        <w:t>- 23/41 - P/6094/2008 mobilière appartenant à autrui et qui lui avait été confiée, l'al. 2 punissant celui qui, sans droit, aura employé à son profit ou au profit d'un tiers des valeurs patrimoniales qui lui avaient été confiées. L'infraction suppose l'existence d'une chose mobilière, appartenant à autrui selon les règles de droit civil. Une autre personne que l'auteur doit avoir un droit de propriété sur la chose, même si ce droit n'est pas exclusif (arrêt du Tribunal fédéral 6B_33/2008 du 12 juin 2008 consid. 3.1, avec référence à l’ATF 88 IV 15 consid. 4). Sont déterminants les rapports de propriété tels qu'ils résultent du contrat conclu par les parties (arrêt du Tribunal fédéral 6B_586/2010 du 23 novembre 2010 consid.4.3.1). Il faut encore que la chose ait été confiée à l'auteur, ce qui signifie qu'elle doit avoir été remise ou laissée à l'auteur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(arrêt du Tribunal fédéral 6P.156/2005 du 24 mars 2006 consid. 4.1). Il ne suffit pas qu’il la restitue avec retard ou qu’il ne se conforme pas à des conditions posées par l’ayant droit. La chose confiée peut avoir été remise matériellement à l'auteur non seulement par le lésé, mais également par un tiers ; tel est le cas notamment lorsqu'un mandataire procède à un encaissement d'argent pour le compte du mandant (ATF 118 IV 32 consid. 2a ; B. CORBOZ, Les infractions en droit suisse, vol. I, 3e éd., Berne 2010, p. 236, n. 5 ad art. 138). Par ailleurs, le rapport de confiance peut être factuel ou implicite (M. NIGGLI / H. WIPRÄCHTIGER, Basler Kommentar Strafrecht II : Art. 111-392 StGB, 3e éd., Bâle 2013, n. 88 ad art. 138). En matière de leasing de véhicule, la propriété n'est transférée que si le contrat le prévoit expressément. A défaut, le fournisseur de leasing reste propriétaire du véhicule (arrêts du Tribunal fédéral 6B_586/2010 du 23 novembre 2010 consid. 4.3.1 et 6B_827/2010 du 24 janvier 2011 consid. 5.4 ss et les références citées). Dans cette affaire, le Tribunal fédéral a confirmé que le preneur de leasing qui avait aliéné le véhicule confié en vertu d'un contrat de leasing en avait disposé comme le ferait un propriétaire, réalisant de la sorte les éléments objectifs de l'art. 138 al. 1 ch. 1 CP (arrêt précité, consid. 4.3.3). Du point de vue subjectif, l'auteur doit agir intentionnellement, avec le dessein de se procurer ou de procurer à un tiers un enrichissement illégitime, qui peut être réalisé par dol éventuel (ATF 118 IV 32 consid. 2a). Par enrichissement, il faut entendre tout avantage économique, notamment l'amélioration de la situation patrimoniale, soit une augmentation de l'actif, une diminution du passif, une non-diminution de</w:t>
      </w:r>
    </w:p>
    <w:p>
      <w:r>
        <w:t>- 24/41 - P/6094/2008 l'actif ou une non-augmentation du passif. Il peut être provisoire ou temporaire (B. CORBOZ, op. cit., p. 237 s, n. 14-15 ad art. 138).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Le dol éventuel et le dol direct ne se distinguent qu'en ce qui concerne ce que sait l'auteur, qui considère le résultat comme certain dans le deuxième cas et comme hypothétique dans le premier, mais non sur le plan de la volonté (ATF 98 IV 65, consid. 4).</w:t>
      </w:r>
    </w:p>
    <w:p>
      <w:r>
        <w:rPr>
          <w:b/>
        </w:rPr>
        <w:t>E. 3.2</w:t>
      </w:r>
    </w:p>
    <w:p>
      <w:r>
        <w:t>Aux termes de l'art. 714 du Code civil suisse du 10 décembre 1907 (CC ; RS 210), la mise en possession est nécessaire pour le transfert de la propriété mobilière (al. 1). Celui qui, étant de bonne foi, est mis à titre de propriétaire en possession d'un meuble en acquiert la propriété, même si l'auteur du transfert n'avait pas qualité pour l'opérer ; la propriété lui est acquise dès qu'il est protégé selon les règles de la possession (al. 2). L'acquéreur de bonne foi auquel une chose mobilière est transférée à titre de propriété ou d'autre droit réel par celui auquel elle avait été confiée, doit être maintenu dans son acquisition, même si l'auteur du transfert n'avait pas l'autorisation de l'opérer (art. 933 CC). Le contrat de vente mobilière peut porter sur une chose qui appartient à autrui, si le vendeur est objectivement en mesure de se la procurer (L. THEVENOZ / F. WERRO [éds], Code des obligations I, Commentaire romand, 2e éd., Bâle 2012, n. 13 ad art. 184 CO).</w:t>
      </w:r>
    </w:p>
    <w:p>
      <w:r>
        <w:rPr>
          <w:b/>
        </w:rPr>
        <w:t>E. 3.3</w:t>
      </w:r>
    </w:p>
    <w:p>
      <w:r>
        <w:t>Un crime ou un délit qui est commis au sein d'une entreprise dans l'exercice d'activités commerciales conformes à ses buts est imputé à l'entreprise s'il ne peut être imputé à aucune personne physique déterminée en raison du manque d'organisation de l'entreprise (art. 102 CP). A l'aune de l'art. 102 CP, la punissabilité de la personne morale n'est que subsidiaire, c'est-à-dire réservée au cas où aucune responsabilité individuelle des personnes physiques impliquées ne peut être demandée. La personne physique qui a agi en tant qu'organe et/ou pour le compte d'une personne morale répond en principe pénalement de ses actes, sur la base de l'art. 29 CP (punissabilité des actes commis dans un rapport de représentation ; arrêt du Tribunal fédéral 6B_1069/2010 du 17 août 2011 consid. 3.2). Aux termes de l'art. 29 CP, un devoir particulier dont la violation fonde ou aggrave la punissabilité et qui incombe uniquement à la personne morale est imputé à une personne physique notamment lorsque celle-ci agit en qualité d'organe d'une personne morale ou de membre d'un tel organe (let. a) ou de dirigeant effectif qui</w:t>
      </w:r>
    </w:p>
    <w:p>
      <w:r>
        <w:t>- 25/41 - P/6094/2008 n'est ni un organe ou un membre d'un organe, ni un associé ou un collaborateur (let. d). Bien qu'elles n'aient pas besoin d'être obligées par le devoir particulier prescrit par la loi, les personnes physiques énumérées ci-dessus doivent réaliser elles-mêmes les éléments constitutifs objectifs et subjectifs de l'infraction en cause pour être pénalement responsables (M. DUPUIS / B. GELLER / G. MONNIER / L. MOREILLON / C. PIGUET / C. BETTEX / D. STOLL [éds], Code pénal - Petit commentaire, Bâle 2012, n. 11 ad art. 29 CP, avec renvoi à l'ATF 131 IV 49 consid. 1.3.2). Les qualifications propres à l'auteur (Täterqualifikation) requises par la loi et que l'entreprise réunit lui sont en revanche imputées (M. NIGGLI / H. WIPRÄCHTIGER, Basler Kommentar Strafrecht I : Art. 1-110 StGB, Jugendstrafgesetz, 3e éd., Bâle 2013, n. 5 ad art. 29). Le dirigeant effectif, ou organe de fait, est la personne qui dirige en fait la société, en utilisant comme hommes de paille des membres du conseil d'administration ou des directeurs (M. DUPUIS / B. GELLER / G. MONNIER / L. MOREILLON / C. PIGUET / C. BETTEX / D. STOLL [éds], op. cit., n. 10 ad art. 29).</w:t>
      </w:r>
    </w:p>
    <w:p>
      <w:r>
        <w:rPr>
          <w:b/>
        </w:rPr>
        <w:t>E. 3.4</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 126 I 19 consid. 2a ; arrêt du Tribunal fédéral 6B_418/2014 du 27 janvier 2015 consid. 1.1).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Selon la jurisprudence constante, des imprécisions relatives au lieu ou à la date sont sans portée (arrêts du Tribunal fédéral 6B_552/2014 du 25 septembre 2014, consid. 1.1, 6B_1121/2013 du 6 mai 2014 consid. 3.2, 6B_210/2013 du 13 janvier 2014 consid. 1.2 et 6B_441/2013 du 4 novembre 2013 consid. 3.2). Selon l'art. 325 al. 1 CPP, l'acte d'accusation désigne notamment les noms du prévenu et de son défenseur, le nom du lésé, le plus brièvement possible, mais avec précision, les actes reprochés au prévenu, le lieu, la date et l'heure de leur commission ainsi que leurs conséquences et le mode de procéder de l'auteur ainsi que</w:t>
      </w:r>
    </w:p>
    <w:p>
      <w:r>
        <w:t>- 26/41 - P/6094/2008 les infractions réalisées et les dispositions légales applicables de l'avis du ministère public.</w:t>
      </w:r>
    </w:p>
    <w:p>
      <w:r>
        <w:rPr>
          <w:b/>
        </w:rPr>
        <w:t>E. 3.5</w:t>
      </w:r>
    </w:p>
    <w:p>
      <w:r>
        <w:t>Il convient de déterminer en premier lieu le rôle de l'appelant au sein de D______, notamment en comparaison de K______. Il est constant que l'appelant était l'actionnaire unique de la société, à tout le moins jusqu'en 2004. S'il a par la suite vendu à K______ une part du capital-actions de D______, il en est resté l'actionnaire majoritaire. Pour des raisons qui semblent liées à d'anciens litiges et à son statut de bénéficiaire d'une rente invalidité, l'appelant n'a jamais assumé le rôle d'administrateur et a successivement placé à ce poste une personne de confiance. Jusqu'en mai 2005, il s'est agi de fiduciaires agissant sur mandat, avec l'obligation de se conformer aux instructions de la société, c'est-à-dire en pratique de l'appelant. Les administrateurs ont tous désigné ce dernier comme étant celui qui s'occupait de vendre les véhicules et gérer la clientèle. Dans ce but, il a constamment disposé d'une procuration générale pour représenter la société, y compris après l'arrivée de K______. La procuration de 2003 signée par W______ mentionnait d'ailleurs expressément le pouvoir de conclure des contrats de leasing. Les employés de D______ ont unanimement désigné l'appelant comme étant le "patron" de la société, certains d'entre eux précisant de manière troublante que sa réputation était douteuse et qu'il était connu dans son milieu comme "le loup blanc". Il donnait les instructions, téléphonait constamment au garage et suivait de près la gestion financière de la société, comme le relevait le responsable d'atelier AB______, auprès duquel l'appelant s'enquérait des entrées de liquidités puis lui demandait de les déposer à la banque ou de les lui remettre directement. Il ressort également des relevés bancaires qu'il procédait à des retraits importants juste après les ventes de véhicules, alors que le solde des comptes de la société était antérieurement proche de zéro, ce qui indique qu'il était parfaitement au courant du moment précis de l'arrivée des fonds et qu'il en attendait la survenance. Tel a en particulier été le cas en novembre 2004 puis en mai 2005, lors des ventes du véhicule M______. L'appelant surveillait également qu'un véhicule ne reste pas invendu pendant une période excessive, comme le relevait l'employé AF______. Il était de plus en contact avec les employés des instituts de leasing, par lesquels il se vantait de se faire appeler "par le prénom" et qui avaient confiance en lui. Enfin, il était l'interlocuteur de D______ dans le cadre des ventes litigieuses, notamment à l'égard des acheteurs I______, C______, L______ et AQ______. K______ n'était ainsi qu'administrateur de la société, à l'instar de ceux qui l'avaient précédé à ce poste et qui, selon W______, se contentaient de "signer des documents". Il s'occupait certes des aspects administratifs, y compris la gestion du personnel. Toutefois, il n'était même pas en charge de la comptabilité, qui était pour partie déléguée à une fiduciaire. S'il était initialement prévu qu'il soit apporteur d'affaires, l'appelant admet lui-même que tel n'avait pas été le cas au final, l'employé AE______ allant jusqu'à qualifier K______ de simple "pantin" de l'appelant. Le comptable</w:t>
      </w:r>
    </w:p>
    <w:p>
      <w:r>
        <w:t>- 27/41 - P/6094/2008 AI______ a également conforté cette appréciation en déclarant qu'il avait très peu vu K______, qui n'était "jamais présent". L'appelant relevait aussi que celui-ci gérait le "volet administratif" de la société depuis son domicile, tout en se montrant "peu disponible". En définitive, l'administrateur signait les documents que l'appelant lui remettait, souvent sans les relire, en lui faisant aveuglément confiance et en agissant qu'en tant qu'intermédiaire entre l'appelant et la fiduciaire en charge de la comptabilité de la société. Ainsi, la thèse de l'appelant n'est pas crédible. Elle reviendrait à considérer qu'il apportait "gratuitement" des affaires à D______, entièrement gérée par son administrateur unique, depuis le domicile ou la société fiduciaire de celui-ci. Il ne peut être suivi lorsqu'il soutient qu'il était tout au plus apporteur d'affaires de D______, sans être aucunement rémunéré pour son activité, alors qu'il a versé des sommes importantes sur son compte privé à diverses reprises, le même jour qu'il effectuait des retraits sur les comptes bancaires de la société. A tort également, il a soutenu qu'il ne pouvait être administrateur de D______ en raison du fait qu'il ne disposait pas de la nationalité suisse. S'il fallait en effet, selon l'ancien droit, que l'un des administrateurs soit suisse, cela ne l'empêchait aucunement d'être aussi administrateur, en sus. Il était tout autant erroné de prétendre que K______ était devenu "l'actionnaire" de D______, alors que son investissement était de CHF 50'000.- et que le capital-actions s'élevait à CHF 150'000.-. Ce faisant, l'appelant tente de "minimiser son rôle", comme l'avait d'ailleurs remarqué W______. Cette manœuvre a pour but manifeste de rejeter la faute sur K______, en arguant que lui-même n'était pas "habilité" à conclure des contrats de leasing alors qu'il disposait d'une procuration pour ce faire, ou qu'il ne s'était plus occupé de la gestion de D______ après l'arrivée de K______, alors qu'il est avéré qu'il a notamment négocié les ventes des véhicules U______ et M______ directement avec C______ et L______. Fort de ce qui précède, l'appelant doit être qualifié d'organe de fait de D______, tout au long de la période pénale litigieuse (art. 29 let. d CP). Il était l'animateur principal des ventes conclues au sein de la société et savait pertinemment comment procéder pour vendre un véhicule faisant l'objet d'un contrat de leasing, puisque ce procédé était selon ses propres aveux fréquent. Il savait également qu'il convenait au préalable de demander à la banque d'établir le prix de rachat du véhicule afin de "solder" le leasing, puis qu'il fallait que celle-ci fasse le nécessaire pour radier le code 178. Enfin et contrairement à ce qu'il soutient, l'acte d'accusation décrit suffisamment le rôle d'organe de fait de l'appelant, en lui reprochant expressément d'avoir agi en qualité "d'actionnaire et d'acteur principal" de D______. Cette description, distincte de celle "d'administrateur unique" utilisée pour K______, permettait amplement à l'appelant de comprendre les reproches qui lui étaient faits.</w:t>
      </w:r>
    </w:p>
    <w:p>
      <w:r>
        <w:rPr>
          <w:b/>
        </w:rPr>
        <w:t>E. 3.6</w:t>
      </w:r>
    </w:p>
    <w:p>
      <w:r>
        <w:t>Des véhicules F______ et J______</w:t>
      </w:r>
    </w:p>
    <w:p>
      <w:r>
        <w:t>- 28/41 - P/6094/2008 G______ était propriétaire du véhicule F______ en vertu du contrat de leasing du 21 novembre 2002. La voiture était mise à disposition de D______, en sa qualité de preneur de leasing, avec l'interdiction expresse de la vendre à autrui. Elle était donc confiée par G______ à D______, qui en disposait sur la base de la relation de confiance découlant du contrat de leasing. Il ressort des déclarations de W______ et de l'appelant, concordantes sur ce point, qu'une connaissance de celui-ci souhaitait contracter un leasing sur le véhicule, sans disposer d'une situation financière permettant l'octroi d'un tel contrat. Il avait ainsi été convenu que E______ conclurait le contrat à sa place, en tant que preneur de leasing, raison pour laquelle elle est devenue détentrice du véhicule à compter du 31 octobre 2003. Ce faisant, le véhicule avait nécessairement été vendu par D______ à l'institut de leasing ayant financé son acquisition pour E______. Il ressort également de la procédure que G______ n'a pas été informée de ces démarches ni désintéressée du contrat qui la liait à D______. Celle-ci s'est ainsi approprié le véhicule F______, en l'aliénant comme s'il lui appartenait, alors que tel n'était pas le cas. Un enrichissement illégitime en a résulté, correspondant aux liquidités dégagées lors de la vente, de sorte que les conditions objectives de l'art. 138 CP sont réalisées. A cette époque, seuls l'appelant et W______ ont pu commettre ces actes, puisque K______ n'était pas encore actif au sein de D______. En l'occurrence, ils doivent être attribués à l'appelant, qui s'est, selon W______, occupé de négocier le contrat. Ces déclarations peuvent être tenues pour crédibles, dès lors que l'appelant a de manière générale agi en tant qu'organe de fait de D______ et qu'il a négocié cette transaction pour arranger l'une de ses connaissances, comme il l'admet d'ailleurs lui- même. Il y était donc nécessairement davantage impliqué qu'il ne le prétend, à l'instar des autres transactions ayant fait l'objet de la procédure. Les déclarations de l'administrateur W______ sont d'ailleurs corroborées par celles de l'appelant, qui a par la suite admis s'être "chargé de la vente à E______", même s'il a prétendu, de manière peu crédible et contradictoire, que les démarches de résiliation du contrat de leasing de G______ devaient être entreprises par W______. Ces déclarations valent aveux déguisés. En effet, l'appelant admet également avoir su que le véhicule F______ faisait l'objet d'un contrat de leasing et que la résiliation d'un tel contrat, à laquelle il était rompu, requérait l'accord du fournisseur de crédit. Puisque l'appelant s'est chargé de la vente, il devait nécessairement, parallèlement, entreprendre des démarches auprès de G______ pour solder le leasing. A défaut, il courait le risque de vendre le véhicule à un prix insuffisant pour désintéresser G______. L'absence de telles démarches trahit son intention de vendre le véhicule à l'insu de l'institut de crédit et sans le désintéresser. Partant, les qualifications propres à l'auteur de l'abus de confiance, en soi réalisées par D______, doivent être imputées à l'appelant, dont la condamnation du chef d'abus de confiance sera confirmée. La responsabilité de la société, qui est subsidiaire, n'entre ainsi pas en ligne de compte, contrairement à ce que plaide l'appelant. La question de savoir si W______ pouvait, en sus, faire l'objet d'une condamnation en tant que co-auteur, dès lors qu'il</w:t>
      </w:r>
    </w:p>
    <w:p>
      <w:r>
        <w:t>- 29/41 - P/6094/2008 était administrateur de E______ et de D______ simultanément et qu'il était versé dans le monde des affaires, peut rester indécise, en l'absence d'acte d'accusation dressé à son encontre. Le même constat s'impose concernant le véhicule J______, confié à D______ par G______ selon le contrat du 16 juillet 2003 mais aliéné à I______ à l'insu de G______, qui en était restée propriétaire, aux alentours du 26 mai 2004, selon le registre de l'Office fédéral des routes. Ces actes remplissent les éléments constitutifs de l'art. 138 CP. Il reste à déterminer qui a commis ces actes, entre l'appelant, W______ et K______, qui commençait tout juste à être actif au sein de D______ en mai 2004. L'appelant admet à demi-mot s'être occupé de cette vente lorsqu'il a affirmé avoir "transmis le véhicule à I______ en vue de sa vente" et avoir été son "interlocuteur". Ce rôle, qui correspond à son statut d'organe de fait et principal acteur des ventes de véhicules au sein de la société, exclut qu'il se fût agi d'une vente conclue par K______. Or, l'appelant ne peut se contenter de se décharger des démarches postérieures à la vente, soit notamment le paiement du solde du leasing, dont il admet avoir connu l'existence, alors que ces démarches lui incombaient en tant que "patron" de la société et responsable des opérations commerciales. A nouveau, ces démarches devaient être entreprises simultanément ou antérieurement à la vente, d'entente avec G______, notamment quant au prix à payer pour résilier le contrat de leasing de manière anticipée. Le fait qu'aucune démarche n'ait été entreprise sur ce point dénote que l'appelant a sciemment voulu vendre le véhicule à l'insu de G______ et sans la désintéresser. Les actes doivent donc lui être imputés et sa culpabilité du chef d'abus de confiance confirmée.</w:t>
      </w:r>
    </w:p>
    <w:p>
      <w:r>
        <w:rPr>
          <w:b/>
        </w:rPr>
        <w:t>E. 3.7</w:t>
      </w:r>
    </w:p>
    <w:p>
      <w:r>
        <w:t>Du véhicule M______ En vertu du contrat de leasing du 9 novembre 2004, le véhicule M______ appartenait à P______ / O______. Q______ en disposait en tant que preneur de leasing, avec l'interdiction de le vendre, tandis que D______ n'en était plus propriétaire et s'en était dessaisi. Lors de la conclusion du second contrat de leasing, le 19 avril 2005, D______, qui n'était pourtant plus propriétaire du véhicule, pouvait tout au plus s'engager à se le procurer puis le vendre à G______, ce qu'elle n'a en réalité pas fait. Par la suite, soit en 2007, la voiture a été vendue à L______, O______ ayant été à cette occasion désintéressée du contrat initial de 2004. La question qui se pose, sous l'angle de l'abus de confiance, est de savoir si le véhicule M______ a été confié à D______, qui se le serait approprié. Au stade de la conclusion du second contrat de leasing entre D______ et G______, seule O______ pouvait être lésée par un acte de disposition portant sur le véhicule dont elle était propriétaire en vertu du contrat de 2004. Toutefois, selon ce contrat, le véhicule n'avait pas été confié à D______, mais à Q______. D______ n'a donc pas</w:t>
      </w:r>
    </w:p>
    <w:p>
      <w:r>
        <w:t>- 30/41 - P/6094/2008 pu transférer la possession du véhicule à G______, qui n'en est pas devenue propriétaire (cf. art. 933 al. 1 CC). O______ aurait été lésée si Q______ (et non D______) avait vendu le véhicule à G______ à son insu, mais tel n'a pas été le cas et elle a finalement été désintéressée par L______. Elle n'a en revanche pas été lésée par la seule volonté de D______ de procéder à une vente portant sur un objet qui ne lui avait pas été confié. Quant à G______, elle n'est pas devenue propriétaire du véhicule. La question qui se poserait serait celle de savoir si elle s'est retrouvée lésée par une escroquerie portant sur l'acquisition d'un véhicule dont le vendeur n'était pas en mesure de remettre la propriété, dite escroquerie étant par hypothèse facilitée par le fait que les organes des sociétés parties au contrat, soit Q______ et D______, étaient les mêmes. Cette question doit toutefois rester indécise, puisque l'acte d'accusation ne porte pas sur l'infraction d'escroquerie et n'en décrit pas les éléments constitutifs. Par conséquent, aucun abus de confiance ne résulte de la conclusion du contrat de leasing de 2005. En 2007, lors de la vente du véhicule à L______, le leasing de O______ a été "soldé", de sorte que celle-ci, qui avait certes confié la voiture à Q______, n'a pas été abusée. Elle a donné son accord pour la vente et n'a souffert aucun dommage. Quant à G______, elle n'avait pas pu confier le véhicule à D______ ni à Q______, puisqu'elle n'en était pas propriétaire. Les rapports de propriété étant déterminants pour retenir l'abus de confiance, aucune infraction ne peut être retenue lors de cette "troisième" vente du véhicule. En d'autres termes, la vente du véhicule en 2005 était sans incidence sous l'angle de l'abus de confiance, puisque le leasing de O______ avait été soldé et que le préjudice de G______, qui était dû au comportement de D______ et non de Q______, relevait tout au plus d'une infraction ne pouvant faire l'objet de la présente procédure. Pour ces raisons, l'appelant sera acquitté du chef d'abus de confiance en tant qu'il concerne le véhicule M______.</w:t>
      </w:r>
    </w:p>
    <w:p>
      <w:r>
        <w:rPr>
          <w:b/>
        </w:rPr>
        <w:t>E. 3.8</w:t>
      </w:r>
    </w:p>
    <w:p>
      <w:r>
        <w:t>Du véhicule U______ Il est établi que G______ était propriétaire du véhicule U______ en vertu du contrat de leasing du 9 novembre 2005. En vertu du même contrat, elle l'avait confié à D______ en sa qualité de preneur de leasing, avec l'interdiction expresse de l'aliéner à quiconque. Le 24 mars 2006, D______ a néanmoins vendu le véhicule à S______, dans le cadre du contrat de leasing conclu avec C______. Elle a profité du fait que G______ n'avait pas requis l'inscription du code 178 en raison du rapport de confiance qui existait avec D______. S______, de bonne foi, en est devenue propriétaire puisque le véhicule avait été confié à D______ par G______ (art. 714 al. 2 et 933 CC). Ce faisant, les éléments constitutifs de l'art. 138 CP ont été réalisés, dès lors que D______ a disposé du véhicule comme si elle en était propriétaire, alors que tel</w:t>
      </w:r>
    </w:p>
    <w:p>
      <w:r>
        <w:t>- 31/41 - P/6094/2008 n'était pas le cas puisqu'il appartenait à G______, qui le lui avait confié. D______ s'est trouvée enrichie du montant versé par S______. Par la suite, le véhicule a été vendu à AO______. Il était toutefois devenu propriété de S______, laquelle l'avait confié au preneur de leasing, C______. Afin de le revendre, celui-ci l'avait à son tour remis à D______, qui l'avait exposé dans le garage de AP______ jusqu'à sa vente à la fin du mois d'octobre 2006. D______ savait que le véhicule U______ appartenait à S______, puisqu'elle le lui avait vendu sept mois plus tôt dans le cadre du contrat de leasing de mars 2006. Elle a en outre sollicité auprès de S______ un décompte afin de déterminer le montant nécessaire pour solder le contrat, comme le relevait AU______. S______ savait donc également que C______ s'intéressait à résilier le contrat de leasing en la désintéressant, avec l'assistance de D______. Le véhicule avait ainsi été confié à D______ par S______ et C______, dans le but de le revendre. Or, le prix de la vente, composé d'un véhicule de reprise AR______ rapidement vendu et d'une soulte de CHF 29'000.-, n'a jamais été versé à C______, pas plus qu'aux instituts de leasing S______ et G______. Constatant que le montant requis n'avait pas été versé et que C______ continuait à verser les redevances de leasing, S______ est partie du principe que la vente n'avait pas été conclue. En procédant à la vente du mois d'octobre 2006 sans en informer S______ ni C______, puis en conservant le prix de la vente qu'elle avait encaissé pour le compte de ceux-ci, D______ a disposé du véhicule comme si elle en était propriétaire et s'est enrichie à due concurrence. Elle a aussi conservé à tort le prix de la vente alors qu'elle devait le remettre à S______, soit pour elle C______. Les éléments constitutifs de l'art. 138 CP sont ainsi réalisés. Tous ces actes peuvent être attribués à l'appelant. K______ a certes signé au nom de D______ les deux contrats de leasing, à quelques cinq mois d'écart, ainsi que le contrat de vente d'octobre 2006. Toutefois, C______ a déclaré que l'appelant, et non le signataire du contrat, l'avait conseillé pour l'achat du véhicule, en mars 2006, puis pour sa revente en octobre de la même année. L'appelant lui avait également expliqué qu'il était préférable de signer le formulaire de radiation du code 178 à l'avance, afin de faciliter la vente. Ses propos sont crédibles puisque l'intimé n'avait aucun intérêt à attribuer les actes litigieux à l'un plutôt qu'à l'autre. Le témoin AP______ a également confirmé que l'appelant était intervenu dans les négociations avec AQ______ afin de déterminer le prix. Les déclarations qui précèdent sont confortées par le fait que l'appelant était généralement en charge des ventes de véhicules au sein de D______ et que C______ était, des aveux mêmes de l'appelant, l'un de ses "très bons amis". L'appelant ne peut donc être suivi lorsqu'il soutient qu'il appartenait à K______ de désintéresser les instituts de leasing concernés, lui-même ne s'occupant que de mettre en relation les parties au contrat. En effet, il ressort de la procédure que l'appelant, qui avait aussi effectué les démarches liées à l'acquisition initiale du véhicule auprès</w:t>
      </w:r>
    </w:p>
    <w:p>
      <w:r>
        <w:t>- 32/41 - P/6094/2008 de AT______, en mars 2006, s'est personnellement chargé de toutes les transactions liées au véhicule U______. Il a procédé à des retraits d'espèces conséquents immédiatement après les versements effectués par G______, respectivement S______, alors que les avoirs bancaires de D______ avant ces versements étaient proches de zéro et ne permettaient pas de tels retraits. Surtout, l'appelant savait qu'il était nécessaire de solder le leasing envers S______, comme il l'avait souvent fait par le passé. Il savait donc que le prix de la vente, qu'il avait lui-même négocié, devait être suffisant pour couvrir le montant réclamé par l'institut de leasing, soit en l'espèce plus de CHF 86'000.-. Le fait de conclure une vente avec AQ______ pour un prix inférieur, soit CHF 77'000.- seulement, trahit sa volonté de ne pas désintéresser S______. A nouveau, il cherche maladroitement à minimiser son rôle et rejeter la faute sur K______, alors qu'il est établi que celui-ci, sévèrement atteint dans sa santé, se contentait en pratique de signer sans les lire les contrats que l'appelant lui présentait, en lui faisant, à tort, toute confiance. Le fait qu'il ait participé au repas du 1er novembre 2006, au restaurant "AS______" en compagnie de AP______ et de l'appelant n'y change rien, dès lors qu'il n'est pas contesté que K______ tentait encore d'assumer les aspects administratifs et juridiques de D______, malgré ses soucis de santé. Au vu des éléments retenus par la CPAR, la culpabilité de l'appelant n'exclut en elle-même pas celle de K______, en tant que co-auteur ou complice de ces actes. Cela étant, la question ne se pose plus au vu de l'acquittement prononcé en première instance et devenu définitif. En agissant comme il l'a fait, l'appelant avait l'intention manifeste d'obtenir des liquidités pour sa société, afin d'éviter la faillite qui fut malgré tout prononcée par la suite. En sa qualité de vendeur d'automobiles professionnel, il savait pertinemment qu'il n'avait pas le droit de disposer des véhicules qui lui étaient confiés. Il a donc à tout le moins agi par dol direct. Il s'est donc rendu coupable d'un double abus de confiance en procédant, à deux reprises, à la vente du véhicule U______. Le verdict de culpabilité rendu par le premier juge concernant ce véhicule sera confirmé.</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w:t>
      </w:r>
    </w:p>
    <w:p>
      <w:r>
        <w:t>- 33/41 - P/6094/2008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4.2</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197 consid. 4 ; arrêts du Tribunal fédéral 6B_714/2015 du 28 septembre 2015 consid. 1.1 et 6B_894/2014 du 25 mars 2015 consid. 2.1). La fixation de la peine pécuniaire intervient en deux phases. Le tribunal détermine d'abord le nombre des jours-amende (art. 34 al. 1 CP), puis arrête le montant du jour- amende en fonction de la situation personnelle et économique de l'auteur (al. 2). Le montant total de la peine pécuniaire résulte de la seule multiplication du nombre par le montant des jours-amende. Les deux facteurs doivent être fixés séparément dans le jugement (al. 4 ; ATF 134 IV 1 consid. 5 et 6 ; arrêt du Tribunal fédéral 6B_541/2007 du 13 mai 2008 consid. 5 et 6). La détermination du nombre de jours-amende est fonction de la culpabilité de l'auteur (art. 34 al. 1 CP), de sorte qu'il y a lieu d'appliquer la règle générale de l'art. 47 CP. Selon cette disposition,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w:t>
      </w:r>
    </w:p>
    <w:p>
      <w:r>
        <w:t>- 34/41 - P/6094/2008 l'auteur et par la mesure dans laquelle celui-ci aurait pu éviter la mise en danger ou la lésion, compte tenu de sa situation personnelle et des circonstances extérieures (al. 2).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135 IV 180 consid. 1.1 ; 134 IV 60 consid. 6 ; arrêts du Tribunal fédéral 6B_281/2013 du 16 juillet 2013 consid. 4.1.1 ; 6B_867/2010 du 19 juillet 2011 consid. 3.1 et 6B_845/2009 du 11 janvier 2010 consid. 1).</w:t>
      </w:r>
    </w:p>
    <w:p>
      <w:r>
        <w:rPr>
          <w:b/>
        </w:rPr>
        <w:t>E. 4.3</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et les références). Le principe de la célérité peut être violé, même si les autorités pénales n'ont commis aucune faute ; elles ne sauraient ainsi exciper des insuffisances de l'organisation judiciaire.</w:t>
      </w:r>
    </w:p>
    <w:p>
      <w:r>
        <w:t>- 35/41 - P/6094/2008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w:t>
      </w:r>
    </w:p>
    <w:p>
      <w:r>
        <w:rPr>
          <w:b/>
        </w:rPr>
        <w:t>E. 4.4</w:t>
      </w:r>
    </w:p>
    <w:p>
      <w:r>
        <w:t>La faute de l'appelant est importante. Il s'en est pris au patrimoine de plusieurs personnes, qu'il s'agisse d'instituts de leasing ou d'individus tels que C______, qu'il comptait pourtant parmi ses amis proches. Il a agi à plusieurs reprises, selon un modus operandi relativement sophistiqué que ses connaissances professionnelles lui ont permis de mettre en place. Il a joué de ses contacts avec ses connaissances personnelles et professionnelles pour établir des relations de confiance dont il a par la suite profité. Son mobile était égoïste, à savoir le seul appât du gain, étant rappelé qu'il s'est enrichi personnellement à l'occasion des ventes qu'il concluait. Il semble avoir voulu éviter à tout prix la faillite de D______, n'hésitant pas à recourir à des moyens illicites pour lui procurer des liquidités. Si la faillite avait certes des conséquences graves pour autrui, notamment pour ses employés, qu'il était louable de vouloir éviter, force est de constater que certains d'entre eux en ont tout de même souffert. Sa collaboration à la procédure et sa prise de conscience sont nulles. Il a constamment minimisé son rôle et rejeté la faute sur les administrateurs de la société, qui étaient pourtant soumis à ses instructions. Sa situation personnelle, même si elle était délicate sur le plan médical, ne justifie aucunement ses actes. Toutefois, à la lecture des considérants du jugement querellé, la CPAR ne comprend pas les motifs qui ont poussé le premier juge à infliger à l'appelant une peine pratiquement deux fois supérieure à celle requise par le Ministère public. Une peine de 15 mois est clairement excessive s'agissant de la nature des délits retenus et de l'absence d'antécédents de l'appelant, car elle implique le prononcé d'une peine privative de liberté au lieu d'une peine pécuniaire. Pour cette raison déjà, il ne se justifiait pas de prononcer une peine supérieure à un an, seule une peine pécuniaire pouvant entrer en ligne de compte. A cela s'ajoute que l'appelant a été acquitté de l'abus de confiance initialement retenu concernant le véhicule M______, ce qui doit entraîner une réduction de la peine au stade de l'appel. Au vu des éléments qui précèdent, une peine pécuniaire de 270 jours-amende tient adéquatement compte de la faute significative de l'appelant. Le sursis lui est acquis.</w:t>
      </w:r>
    </w:p>
    <w:p>
      <w:r>
        <w:t>- 36/41 - P/6094/2008 Enfin, il convient de tenir compte de la durée de la procédure, qui s'est révélée anormalement longue, comme s'en est plaint à juste escient l'appelant durant les débats d'appel. Ses déclarations peuvent légitimement être comprises comme constituant un grief tiré de la violation du principe de célérité, même si le Conseil de l'appelant, qui a également mentionné la lenteur de la procédure, ne s'en est pas formellement prévalu. Si les actes d'instruction se sont peu ou prou succédés entre 2007 et 2011, les périodes d'inactivité de huit mois avant l'avis de prochaine clôture, un an et demi pour communiquer l'acte d'accusation, puis encore un an et demi avant les débats de première instance, sont excessives. La difficulté de la cause et le nombre d'éléments à instruire ne les justifiaient pas. L'appelant en a manifestement souffert, de sorte qu'une diminution de la peine lui est acquise, même si l'absence de collaboration à l'enquête a sans doute contribué à la lenteur de la procédure. Compte tenu de ce qui précède, la peine sera ramenée à 180 jours-amende. Quant au montant du jour-amende, il se justifie de l'arrêter à CHF 30.-. Ce montant paraît adéquat au regard de la situation économique de l'appelant, soit ses revenus mensuels de l'ordre de CHF 3'600.- et de ses charges incompressibles, pour plus de CHF 2'000.-, entraînant un revenu net quotidien supérieur à CHF 50.- ([3'600 - 2'000] / 30). Le délai d’épreuve du sursis, judicieusement arrêté à trois ans, est adéquat en tant qu'il est à même de dissuader l'appelant de comportements similaires, ce qu'il ne conteste pas. Le jugement de première instance sera réformé en conséquence.</w:t>
      </w:r>
    </w:p>
    <w:p>
      <w:r>
        <w:rPr>
          <w:b/>
        </w:rPr>
        <w:t>E. 5</w:t>
      </w:r>
    </w:p>
    <w:p>
      <w:r>
        <w:t>Le montant que l'appelant a été condamné à verser à C______ à titre de réparation de son dommage n'est pas contesté dans sa quotité mais dans son principe, dans la mesure où l'appelant plaidait son acquittement. Il sera dès lors confirmé.</w:t>
      </w:r>
    </w:p>
    <w:p>
      <w:r>
        <w:rPr>
          <w:b/>
        </w:rPr>
        <w:t>E. 6.1</w:t>
      </w:r>
    </w:p>
    <w:p>
      <w:r>
        <w:t>Les frais de la procédure de recours sont mis à la charge des parties dans la mesure où elles ont obtenu gain de cause ou succombé (art. 428 al. 1, première phrase, CPP). L'appelant succombe partiellement. Il est acquitté d'une infraction sur quatre et sa peine est pratiquement réduite pour plus de moitié, sans même parler de la déqualification du genre de peine. Partant, il se justifie de lui faire supporter la moitié des frais de la procédure d'appel, qui comprennent un émolument de jugement de CHF 4'000.- (art. 428 al. 1 CPP et art. 14 al. 1 let. e du Règlement fixant le tarif des frais en matière pénale du 22 décembre 2010 [RTFMP ; E 4 10.03]).</w:t>
      </w:r>
    </w:p>
    <w:p>
      <w:r>
        <w:rPr>
          <w:b/>
        </w:rPr>
        <w:t>E. 6.2</w:t>
      </w:r>
    </w:p>
    <w:p>
      <w:r>
        <w:t>Au vu de l'acquittement partiel et de la réduction de la peine retenus en appel, il se justifie également de réduire le montant des frais de première instance auxquels l'appelant a été condamné. En présence d'un abandon partiel de la procédure pénale, il faut identifier quels actes d'instruction ont été rendus inutiles et les dommages qu'ils ont causés. Il convient de</w:t>
      </w:r>
    </w:p>
    <w:p>
      <w:r>
        <w:t>- 37/41 - P/6094/2008 vérifier si c'est bien au titre des infractions abandonnées par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&amp; ss CPP, in Jusletter du 13 février 2012 ; A. KUHN / Y. JEANNERET (éds), Commentaire romand : Code de procédure pénale suisse, Bâle 2011, n 27 ad art. 429). Ces principes, tirés de l'art. 429 CPP en matière d'indemnités au prévenu, s'appliquent aux frais de la procédure. Ainsi, conformément à l'art. 426 al. 1 CPP, le prévenu doit supporter les frais en cas de condamnation, car il a occasionné, par son comportement, l'ouverture et la mise en œuvre de l'enquête pénale, étant précisé qu'un lien de causalité adéquate est nécessaire entre le comportement menant à la condamnation et les coûts relatifs à l'enquête permettant de l'établir (ATF 138 IV 248 consid. 4.4.1 ; arrêt du Tribunal fédéral 6B_1085/2013 du 22 octobre 2014 consid. 6.1.1 et les autres arrêts cités). En vertu de l'art. 426 al. 2 CPP, en cas d'acquittement partiel, il convient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 cet égard, une certaine marge d'appréciation doit être laissée à l'autorité dès lors qu'il est difficile de déterminer avec exactitude les frais qui relèvent de chaque fait imputable ou non au condamné (arrêt du Tribunal fédéral 6B_1085/2013 précité). Concrètement, il se justifie de réduire de moitié les frais de première instance supportés par l'appelant. Il sera condamné au quart de ces frais, puisqu'il en supportait la moitié à raison du jugement entrepris.</w:t>
      </w:r>
    </w:p>
    <w:p>
      <w:r>
        <w:rPr>
          <w:b/>
        </w:rPr>
        <w:t>E. 7.1</w:t>
      </w:r>
    </w:p>
    <w:p>
      <w:r>
        <w:t>Me B______ s'est constitué à la défense des intérêts de l'appelant au début de la procédure d'appel, en lieu et place du défenseur d'office qui a exercé son mandat en première instance. Celui-là n'a invoqué aucun motif pour se faire relever de son mandat d'office. Par conséquent, Me B______ a agi en tant que défenseur privé, de sorte que l'indemnité de son client se détermine selon les art. 429 ss CPP.</w:t>
      </w:r>
    </w:p>
    <w:p>
      <w:r>
        <w:rPr>
          <w:b/>
        </w:rPr>
        <w:t>E. 7.2</w:t>
      </w:r>
    </w:p>
    <w:p>
      <w:r>
        <w:t>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La règle figurant à l'art. 433 CPP, qui impose au plaignant de chiffrer et de justifier ses prétentions, ne saurait s'appliquer par analogie à l'indemnisation du prévenu,</w:t>
      </w:r>
    </w:p>
    <w:p>
      <w:r>
        <w:t>- 38/41 - P/6094/2008 laquelle constitue un droit (art. 429 CPP) et doit faire l'objet d'un examen d'office. L'art. 429 al. 2 CPP prévoit, en effet, expressément que "l'autorité pénale examine d'office les prétentions du prévenu. Elle peut enjoindre à celui-ci de les chiffrer et de les justifier". La Cour de justice applique un tarif horaire de CHF 450.-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 lui-même calculé sa prétention à ce taux-là (ACPR/377/2013 du 13 août 2013).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du Tribunal fédéral 6B_187/2015 du 28 avril 2015 consid. 6.1.2 et 6B_300/2012 du 10 juin 2013 consid. 2.4).</w:t>
      </w:r>
    </w:p>
    <w:p>
      <w:r>
        <w:rPr>
          <w:b/>
        </w:rPr>
        <w:t>E. 7.3</w:t>
      </w:r>
    </w:p>
    <w:p>
      <w:r>
        <w:t>En l'espèce, le principe de l'indemnité est acquis à l'appelant, au vu du sort de la cause. Prise dans sa globalité, la note d'honoraires de Me B______ est en adéquation avec la complexité de la cause. Le taux horaire allégué, supérieur au taux usuellement admis, est compensé par le nombre d'heures consacré à la préparation des débats d'appel, qui reste raisonnable au vu de la récente constitution du Conseil de l'appelant et de la complexité du dossier. Compte tenu du sort des frais de la procédure d'appel, les honoraires seront pris en charge par l'Etat pour moitié, soit CHF 4'664.65, TVA comprise. * * * * *</w:t>
      </w:r>
    </w:p>
    <w:p>
      <w:r>
        <w:t>- 39/41 - P/6094/2008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