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AARP/343/2023 vom 15. September 2023</w:t>
      </w:r>
    </w:p>
    <w:p>
      <w:r>
        <w:t>GE Cour de justice, 2023-09-15, FR</w:t>
      </w:r>
    </w:p>
    <w:p>
      <w:r>
        <w:rPr>
          <w:b/>
        </w:rPr>
        <w:t xml:space="preserve">Quelle: </w:t>
      </w:r>
      <w:r>
        <w:t>https://mcp.opencaselaw.ch/entscheid/ge_gerichte_AARP_343_2023</w:t>
      </w:r>
    </w:p>
    <w:p>
      <w:r>
        <w:t>FR: GE_GERICHTE AARP/343/2023 du 15 septembre 2023</w:t>
      </w:r>
    </w:p>
    <w:p>
      <w:r>
        <w:t>IT: GE_GERICHTE AARP/343/2023 del 15 settembre 2023</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ATF 127 I 28 consid. 2a).</w:t>
      </w:r>
    </w:p>
    <w:p>
      <w:r>
        <w:t>- 11/26 - P/23638/2020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2.3</w:t>
      </w:r>
    </w:p>
    <w:p>
      <w:r>
        <w:t>À teneur de l’art. 185 ch. 1 CP, quiconque séquestre, enlève une personne ou de toute autre façon s’en rend maître, pour contraindre un tiers à faire, à ne pas faire ou à laisser faire un acte est puni d’une peine privative de liberté d’un an au moins.</w:t>
      </w:r>
    </w:p>
    <w:p>
      <w:r>
        <w:t>- 12/26 - P/23638/2020</w:t>
      </w:r>
    </w:p>
    <w:p>
      <w:r>
        <w:t>L’infraction est caractérisée par une double atteinte à la liberté : d’une part, une privation de liberté de l’otage, identique à celle de l’art. 183 CP réprimant la séquestration et l’enlèvement, d’autre part une atteinte à la liberté de décision de la personne que l’auteur veut contraindre. Elle se présente donc à la fois comme une privation de liberté aggravée et comme une contrainte qualifiée, même si la séquestration et l’enlèvement ne constituent que des moyens parmi d’autres permettant à l’auteur, selon l’énoncé légal, de se rendre maître de l’otage (A. MACALUSO / L. MOREILLON / N. QUELOZ [éds], Commentaire romand, Code pénal vol. II, Partie spéciale : art. 111-392 CP, Bâle 2017, n. 2 ad art. 185 CP).</w:t>
      </w:r>
    </w:p>
    <w:p>
      <w:r>
        <w:t>Il y a prise d'otage du point de vue objectif, lorsque l'auteur s'est rendu maître de la personne de l'otage. Pour ce qui est du point de vue subjectif de l'infraction de prise d'otage, il suffit, en dehors de l'intention, qu'il existe un dessein de contraindre un tiers à avoir un certain comportement. L'auteur n'a pas besoin d'avoir fait connaître ses exigences ni manifesté ses menaces quant au sort de l'otage (ATF 121 IV 162 consid. 1e ; arrêt du Tribunal fédéral 6B_163/2015 du 31 mars 2015 consid. 1.4).</w:t>
      </w:r>
    </w:p>
    <w:p>
      <w:r>
        <w:rPr>
          <w:b/>
        </w:rPr>
        <w:t>E. 2.4</w:t>
      </w:r>
    </w:p>
    <w:p>
      <w:r>
        <w:t>Conformément à l'art. 25 CP, la peine est atténuée à l'égard de quiconque a intentionnellement prêté assistance à l'auteur pour commettre un crime ou un délit.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 la complicité par omission suppose toutefois une obligation juridique d'agir, autrement dit une position de garant (ATF 132 IV 49 consid. 1.1 ; 121 IV 109 consid. 3a ; arrêt du Tribunal fédéral 6B_72/2009 du 20 mai 2009 consid. 2.1). Subjectivement, le complice doit avoir l'intention de favoriser la commission, mais le dol éventuel suffit (ATF 121 IV 109 consid. 3a ; 118 IV 309 consid. 1a). Il faut qu'il sache ou se rende compte qu'il apporte son concours à un acte délictueux déterminé et qu'il le veuille ou l'accepte. À cet égard, il suffit qu'il connaisse les principaux traits de l'activité délictueuse qu'aura l'auteur, lequel doit donc avoir pris la décision de l'acte (ATF 132 IV 49 consid. 1.1 ; 121 IV 109 consid. 3a ; arrêt du Tribunal fédéral 6B_72/2009 du 20 mai 2009 consid. 2.1). L'assistance prêtée par le complice peut être matérielle, intellectuelle ou consister en une simple abstention. La complicité par omission suppose toutefois une obligation juridique d'agir, autrement dit une position de garant (ATF 132 IV 49 consid. 1.1 ;</w:t>
      </w:r>
    </w:p>
    <w:p>
      <w:r>
        <w:t>- 13/26 - P/23638/2020 121 IV 109 consid. 3a ; arrêt du Tribunal fédéral 6B_72/2009 du 20 mai 2009 consid. 2.1).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 11 al. 2 et 3 CP ; ATF 136 IV 188 consid. 6.2 p. 191 ss ; 134 IV 255 consid. 4.2.1 ; arrêt du Tribunal fédéral 6B_696/2012 du 8 mars 2013 consid. 7.1). Contrairement au coauteur, le complice ne veut pas l'infraction pour sienne et n'est pas prêt à en assumer la responsabilité.</w:t>
      </w:r>
    </w:p>
    <w:p>
      <w:r>
        <w:rPr>
          <w:b/>
        </w:rPr>
        <w:t>E. 2.5</w:t>
      </w:r>
    </w:p>
    <w:p>
      <w:r>
        <w:t>L'art. 95 al. 1 let. e LCR prévoit qu'est puni d'une peine privative de liberté de trois ans au plus ou d'une peine pécuniaire quiconque met un véhicule automobile à la disposition d'un conducteur dont il sait ou devrait savoir s'il avait prêté toute l'attention commandée par les circonstances qu'il n'est pas titulaire du permis requis. Conformément aux règles générales, agit intentionnellement quiconque commet un crime ou un délit avec conscience et volonté (art. 12 al. 2 CP). La négligence est l'imprévoyance coupable commise par celui qui, ne se rendant pas compte des conséquences de son acte, agit sans user des précautions commandées par les circonstances et sa situation personnelle (art. 12 al. 3 CP). Dans toutes les hypothèses visées à l'art. 95 al. 1 LCR, la règle de l'art. 100 al. 1 première phrase LCR s'applique sans restriction, de sorte que la négligence, comme l'intention, sont réprimées (Y. JEANNERET, Les dispositions pénales de la Loi sur la circulation routière (LCR), Berne 2007, n° 43 ad art. 95). Dans le contexte de l'art. 95 al. 1 let. e LCR, l'auteur agit intentionnellement lorsqu'il sait que le conducteur auquel il cède l'usage de son véhicule n'est pas titulaire du permis requis et qu'en dépit de cela, il lui remet un pouvoir de disposer de ce véhicule (Y. JEANNERET, op. cit, n° 45 ad art. 95). La négligence se traduit quant à elle par une conscience erronée portant sur le contenu du permis de conduire d'un tiers. L'auteur a une obligation générale de se renseigner activement, obligation qui est toujours satisfaite s'il se fait produire le permis de conduire de l'intéressé. L'obligation de contrôler le contenu du permis de conduire sera très stricte lorsque l'auteur ne connaît pas le conducteur - on pense au loueur de voiture ou au moniteur d'auto-école - et pourra être atténuée, voire supprimée lorsque les rapports particuliers - proches, familiers, amis, collègues de travail - existant entre l'auteur et le conducteur sont tels que le premier est en droit de se fier de bonne foi aux assurances qui lui sont faites par le conducteur. L'erreur dans laquelle se trouve l'auteur est toujours évitable, et partant l'infraction punissable par négligence, lorsqu'il n'a pas satisfait à son devoir de vérification du permis du tiers alors qu'il</w:t>
      </w:r>
    </w:p>
    <w:p>
      <w:r>
        <w:t>- 14/26 - P/23638/2020 était exigible compte tenu des circonstances (A. BUSSY / B. RUSCONI / Y. JEANNERET / A. KUHN / C. MIZEL / CH. MÜLLER, Code suisse de la circulation routière : commentaire, 4e éd., Lausanne 2015, p. 949 ad art. 95 ; Y. JEANNERET, op. cit, n° 48 ad art. 95). 2.6.1. En l’espèce, les versions de l’appelant, de l’auteur principal de la prise d’otage et de la victime divergent. L’auteur principal a nié tout acte illicite, mais n’a pas fait appel de sa condamnation. Sa version des faits est donc, par définition, lacunaire.</w:t>
      </w:r>
    </w:p>
    <w:p>
      <w:r>
        <w:t>La version de la victime, recueillie moins de trois heures après les faits, apparaît particulièrement crédible. Elle s’est exprimée de façon claire, calme et précise, n’hésitant pas à reprendre l’inspectrice qui menait l’audition lorsque celle-ci se trompait (C-136). Elle n’a pu échanger plus que quelques instants avec sa mère et sa sœur : or, leurs propos sont globalement similaires. Contrairement à ce qu’a soutenu la défense, on ne distingue pas de contradiction fondamentale entre la version donnée à la police et celle fournie à l’audience de confrontation. Certaines questions n’ont été posées que lors de cette dernière (par exemple sur la possibilité de sortir du véhicule) et il n’est donc pas surprenant que certains éléments n’apparaissent que lors de l’une ou l’autre audition. La victime ne connaissait aucun des protagonistes avant les faits et n’avait aucune raison de désigner plutôt l’un que l’autre, ni d’ailleurs de « charger » l’appelant ou son comparse. Elle désigne clairement les deux personnes qui l’ont abordée, distinguant selon les phases le rôle de chacun ou en les désignant collectivement, notamment lorsqu’elle a été contrainte de les accompagner à leur véhicule ou lorsqu’elle décrit comment elle craignait qu’ils ne fassent quelque chose (« ils insistaient » C-117-118 ; « c’est comme si … ils me poussaient … deux grands comme ça… » C-122 ; « ils ont fermé leurs portes » C-124 ; « ils vont faire un truc » C-127 ; etc.).</w:t>
      </w:r>
    </w:p>
    <w:p>
      <w:r>
        <w:t>Cette version est par ailleurs corroborée par les messages échangés, qui démontrent les pressions exercées (supra B.c.), ainsi que par les déclarations de la sœur et de la mère de la victime. Les constatations des policiers – qui ont recueilli la victime en pleurs à son retour chez elle – comme les propres déclarations de l’appelant – qui admet que la victime a eu peur et pleurait dans le véhicule confirment encore ses explications. Sa crédibilité est ainsi singulièrement forte.</w:t>
      </w:r>
    </w:p>
    <w:p>
      <w:r>
        <w:t>En regard de cette version, celle de l’appelant, qui se contente pour l’essentiel de nier avoir exercé toute contrainte tout en admettant le déroulement factuel, n’emporte pas conviction.</w:t>
      </w:r>
    </w:p>
    <w:p>
      <w:r>
        <w:t>L’appelant savait, bien avant de rencontrer la victime, que son comparse était énervé et en voulait à la sœur de cette dernière. Il a vu l’auteur principal en possession (pour le moins incongrue) d’une paire de chaussures (appartenant à la victime ou sa sœur) ; il l’a vu arracher le téléphone des mains de la jeune fille, alors qu’il est notoire que</w:t>
      </w:r>
    </w:p>
    <w:p>
      <w:r>
        <w:t>- 15/26 - P/23638/2020 cet objet est d’une grande importance pour une adolescente et l’appelant n’a pu que comprendre ce geste comme un moyen de contrainte, auquel il ne s’est pas opposé. Surtout, il a accompagné son comparse jusqu’au véhicule. Le prétexte de ce déplacement (charger le téléphone) ne résiste pas à l’examen : la victime se trouvait devant son immeuble et n’avait nul besoin de charger son téléphone pour contacter sa sœur, puisqu’il lui suffisait de rentrer chez elle. L’appelant n’avait aucune raison de suivre son comparse dans cette démarche. Il n’avait surtout aucun motif de monter dans le véhicule, sinon celui de renforcer la pression mise sur la victime pour y entrer et ensuite obéir à l’auteur principal ; il est conforme à l’expérience générale de la vie que la présence de deux adultes, l’un devant, l’autre derrière, est intimidante pour une adolescente, ce que l’appelant ne pouvait pas ignorer.</w:t>
      </w:r>
    </w:p>
    <w:p>
      <w:r>
        <w:t>L’absence de résultat (qui équivaut en l’occurrence à un résultat négatif) du prélèvement effectué sur la veste de la victime est sans pertinence à ce stade. Elle ne signifie pas que tout contact doive être exclu, ce d'autant que le geste décrit est particulièrement bref. Au surplus, même en l’absence de tout contact physique, la présence de l’appelant, contribuant à prendre la victime en tenaille entre l’auteur principal et lui pour la faire entrer dans le véhicule, exerçait déjà une pression importante sur elle, comme elle l’a expliqué lors de son audition.</w:t>
      </w:r>
    </w:p>
    <w:p>
      <w:r>
        <w:t>La victime décrit clairement la séquence d’entrée des protagonistes dans le véhicule, soit elle en premier, puis l’appelant (par la porte du conducteur) et enfin l’auteur principal ; cet ordre paraît logique dans le contexte des faits. Cet élément n’est pas central, mais contribue à la contrainte ; en tout état de cause, même si par hypothèse l’appelant était entré dans le véhicule avant elle, comme il le soutient, l’ensemble des circonstances de l’espèce confirme qu’elle n’y est pas entrée de son plein gré.</w:t>
      </w:r>
    </w:p>
    <w:p>
      <w:r>
        <w:t>L’appelant nie certes avoir parlé dans le véhicule et ainsi contribué à la contrainte exercée sur la victime pour qu’elle fasse venir sa sœur. Or, la victime a été constante à ce sujet ; certains messages Snapchat font d’ailleurs mention de plusieurs personnes. La plaignante a décrit clairement les propos de l’appelant, une fois à bord du véhicule, qui ont contribué à la maintenir dans la crainte, y-compris la manière dont il a signalé la présence de la police. Il s’agissait de personnel en uniforme, facilement visibles ; si la plaignante a précisé que son frère accompagnait les gendarmes, elle ne met pas cette précision dans la bouche de l’appelant. Cette version emporte conviction, la victime n’ayant aucun intérêt à mentir sur ce point – surtout aussi vite après les faits – et ayant, sur ces aspects aussi, clairement désigné l’appelant. Une confusion avec l’auteur principal n’entre pas en ligne de compte.</w:t>
      </w:r>
    </w:p>
    <w:p>
      <w:r>
        <w:t>Le lieu et l’heure à laquelle se sont déroulés les événements – effectivement en pleine rue à une heure d’activité – sont sans pertinence : les faits se sont passés rapidement et il n’est pas surprenant qu’aucun passant – pour autant qu’il y en ait eu un, ce qui n’est pas établi – n’ait réagi.</w:t>
      </w:r>
    </w:p>
    <w:p>
      <w:r>
        <w:t>- 16/26 - P/23638/2020 Certes, l’appelant ne s’est pas adressé à la sœur de la victime et n’a pas directement participé à l’atteinte à la liberté de décision de celle-ci. Il a néanmoins joué un rôle déterminant dans la privation de liberté de la victime elle-même, en sachant pertinemment que son comparse cherchait par ce biais à contraindre la sœur de la victime à venir à sa rencontre. Il ne s’est ainsi pas contenté d’assister passivement aux agissements de son comparse mais y a contribué de façon déterminante. Le fait que la victime ait finalement pu quitter le véhicule est sans portée sur les circonstances dans lesquelles elle y est entrée et restée, étant relevé que sa privation de liberté a duré, aux dires de l’auteur principal, une vingtaine de minutes, ce qui correspond à la chronologie ci-dessus, qui permet d’établir que la victime a été abordée par les deux hommes avant 16h43 et libérée vers 17h00. L’appelant a donc joué un rôle causal dans l’infraction de prise d’otage et le verdict de culpabilité pour complicité de cette infraction doit être confirmé. 2.6.2. L’appelant déclare avoir ignoré que son comparse n’était pas titulaire d’un permis de conduire et s’être fié aux apparences. Compte tenu des circonstances de l’espèce, notamment de la location d’un véhicule luxueux et cher, par ses soins, pour le mettre à disposition de son comparse, alors que des relations privilégiées existaient entre ce dernier et le loueur, il aurait été plus logique que le contrat de location soit conclu directement entre eux. Du fait que son comparse lui a lui-même demandé de signer le contrat et qu’il ne le connaissait que depuis quelques jours, l’appelant ne pouvait pas se contenter de se fier aux apparences et il lui incombait, à tout le moins, de lui demander s’il remplissait bien les conditions pour conduire, ce qu’il n’a pas fait. Il faut dès lors retenir que l’appelant a bien contrevenu à l’art. 95 al. 1 let. e LCR, à tout le moins par négligence, en permettant à son comparse de prendre le volant le 25 novembre 2020. Le verdict de culpabilité sur ce point sera également confirmé.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w:t>
      </w:r>
    </w:p>
    <w:p>
      <w:r>
        <w:t>- 17/26 - P/23638/2020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Cette disposition ne prévoit aucune exception. Le prononcé d'une peine unique dans le sens d'un examen global de tous les délits à juger n'est pas possible (ATF 145 IV 1 consid. 1.4 ; 144 IV 313 consid. 1.1.2).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3.3.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- 18/26 - P/23638/2020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 ATF 141 IV 61 consid. 6.1.2 ; ATF 138 IV 113 consid. 3.4.1 et les références). Il doit s'agir de peines de même genre (ATF 142 IV 265 consid. 2.3.2 et les références = JdT 2017 IV 129). L'art. 49 al. 2 CP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329 consid. 1.4.1 = JdT 2017 IV 221 ; SJZ/RSJ 112/2016 ; AJP 2017 ; AARP/49/2017 du 10 février 2017 consid. 3.2.1 à 3.2.3 ; ATF 142 IV 265 consid. 2.3.3 = JdT 2017 IV 129 ; ATF 141 IV 61 consid. 6.1.2 ; arrêt du Tribunal fédéral 6B_623/2016 du 25 avril 2017 consid. 1.1 et 1.4). 3.4.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 arrêt du Tribunal fédéral 6B_1249/2014 du 7 septembre 2015 consid. 1.2). 3.5. Aux termes de l'art. 42 al. 1 CP, le juge suspend en règle générale l'exécution d'une peine pécuniaire ou d'une peine privative de liberté de deux ans au plus lorsqu'une peine ferme ne paraît pas nécessaire pour détourner l'auteur d'autres crimes ou délits. Aux termes de l'art. 44 al. 1 CP, si le juge suspend totalement ou partiellement l'exécution d'une peine, il impartit au condamné un délai d'épreuve de deux à cinq</w:t>
      </w:r>
    </w:p>
    <w:p>
      <w:r>
        <w:t>- 19/26 - P/23638/2020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 3.6. En l’espèce, la faute de l’appelant est importante. Il s’en est pris à la liberté d’une mineure et, à deux reprises, à la sécurité routière. Sa situation personnelle n’explique pas son comportement ; comme il le souligne lui- même, il n’avait pas de raison de prendre fait et cause pour son comparse qu’il ne connaissait pas de longue date. Il a agi par complaisance et facilité, prêtant assistance à son comparse au détriment d’une jeune fille durablement marquée par les faits. Au vu de la gravité des faits et de l’absence de prise de conscience, seule une peine privative de liberté entre en ligne de compte pour la complicité de prise d’otage, afin d’une part de sanctionner adéquatement la gravité de la faute et d’autre part de remplir efficacement la fonction dissuasive du prononcé d’une sanction. En revanche, les infractions à la LCR peuvent adéquatement être sanctionnées par une peine pécuniaire, laquelle devra être fixée en tenant compte de celle prononcée le 31 août 2022 par le MP, les infractions concernées entrant en concours rétrospectif. 3.6.1. En ce qui concerne la complicité de prise d’otage, les développements du premier juge relatifs à la fixation de la peine, qui n’ont fait l’objet d’aucune critique de l’appelant, emportent conviction. La peine privative de liberté doit être arrêtée à un an et réduite à sept mois pour tenir compte du statut de complice du prévenu. 3.6.2. Les trois infractions à la LCR retenues à l’encontre de l’appelant sont passibles d’une peine privative de liberté de trois ans au plus ou d’une peine pécuniaire. L’infraction la plus grave est celle déjà sanctionnée par le MP. Si la Cour de céans avait été appelée à sanctionner l’ensemble des faits elle aurait ainsi fixé la peine de base à 60 jours amende pour cette infraction et l’aurait aggravée de 15 jours à chaque fois (peine théorique 30 jours) pour chacune des infractions à l’art. 95 LCR. C’est donc une peine complémentaire de 30 jours-amende qui sera prononcée, la valeur du jour-amende étant calquée sur celle retenue le 31 août 2022 soit CHF 40.-. 3.6.3. Le bénéfice du sursis est acquis à l’appelant. La durée du d’épreuve fixée par le premier juge est adéquate et sera confirmée. L’appel sera donc partiellement admis et la peine prononcée modifiée dans le sens de ce qui précède.</w:t>
      </w:r>
    </w:p>
    <w:p>
      <w:r>
        <w:t>- 20/26 - P/23638/2020 4. 4.1. 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prise d’otage (let. g). Conformément à l'al. 2 de cette disposition,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4.2. La loi ne définit pas ce qu'il faut entendre par une « situation personnelle grave » (première condition cumulative) ni n'indique les critères à prendre en compte dans la pesée des intérêts (seconde condition cumulative). Il convient de s'inspirer des critères énoncés à l'art. 31 de l'ordonnance du 24 octobre 2007 relative à l'admission, au séjour et à l'exercice d'une activité lucrative (OASA).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 arrêt du Tribunal fédéral 6B_379/2021 du 30 juin 2021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 du Tribunal fédéral 6B_153/2020 du 28 avril 2020 consid. 1.3.2). La reconnaissance d'un cas de rigueur ne se résume pas non plus à la simple constatation des potentielles conditions de vie dans le pays d'origine ou du moins la</w:t>
      </w:r>
    </w:p>
    <w:p>
      <w:r>
        <w:t>- 21/26 - P/23638/2020 comparaison entre les conditions de vie en Suisse et dans le pays d'origine, mais aussi à la prise en considération des éléments de la culpabilité ou de l'acte (M. BUSSLINGER / P. UEBERSAX, Härtefallklausel und migrationsrechtliche Auswirkungen der Landesverweisung, cahier spécial, Plaidoyer 5/2016, p. 101 ; G. FIOLKA / L. VETTERLI, Die Landesverweisung in Art. 66a ff StGB als strafrechtliche Sanktion, cahier spécial, Plaidoyer 5/2016, p. 87 ; AARP/185/2017 du 2 juin 2017 consid. 2.2).</w:t>
      </w:r>
    </w:p>
    <w:p>
      <w:r>
        <w:t>4.3. En l’espèce, l’appelant se prévaut de liens avec la Suisse alors qu’il n’y réside pas et a tout au plus des parents éloignés vivant dans notre pays. Il se prévaut également de liens avec une communauté religieuse, dont il admet qu’il la fréquentait jusque récemment uniquement par le biais des réseaux sociaux. Ces circonstances ne fondent à l’évidence pas un cas de rigueur au sens de l’art. 66a al. 2 CP et il n’y a aucune raison de renoncer au prononcé de l’expulsion qui sera partant confirmée.</w:t>
      </w:r>
    </w:p>
    <w:p>
      <w:r>
        <w:t>4.4. Il n'y a pas lieu d'étendre la mesure d'expulsion prononcée à l'ensemble de l'espace Schengen, le prévenu étant ressortissant d'un État membre.</w:t>
      </w:r>
    </w:p>
    <w:p>
      <w:r>
        <w:rPr>
          <w:b/>
        </w:rPr>
        <w:t>E. 5</w:t>
      </w:r>
    </w:p>
    <w:p>
      <w:r>
        <w:t>juillet 2017 consid. 5.1). L'appréciation des preuves implique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Les déclarations de la victime constituent un élément de preuve. Le juge doit, dans l'évaluation globale de l'ensemble des éléments probatoires rassemblés au dossier, les apprécier librement (arrêts du Tribunal fédéral 6B_366/2021 du 26 janvier 2022 consid. 2.1 ; 6B_579/2021 du 29 novembre 2021 consid. 1.1 ; 6B_332/2020 du 9 juin 2020 consid. 3.2 et les références citées).</w:t>
      </w:r>
    </w:p>
    <w:p>
      <w:r>
        <w:rPr>
          <w:b/>
        </w:rPr>
        <w:t>E. 5.1</w:t>
      </w:r>
    </w:p>
    <w:p>
      <w:r>
        <w:t>Conformément à l'art. 126 al. 1 let. a CPP, le tribunal statue également sur les conclusions civiles présentées lorsqu'il rend un verdict de culpabilité à l'encontre du prévenu.</w:t>
      </w:r>
    </w:p>
    <w:p>
      <w:r>
        <w:rPr>
          <w:b/>
        </w:rPr>
        <w:t>E. 5.2</w:t>
      </w:r>
    </w:p>
    <w:p>
      <w:r>
        <w:t>En l’espèce, l’appelant conclut au déboutement de la partie plaignante, sans motiver cette conclusion au-delà de l’acquittement plaidé. Dans la mesure où le verdict de culpabilité est intégralement confirmé, les prétentions civiles le seront également étant relevé que le montant alloué par le premier juge, dont l’appelant ne critique pas la quotité, est adéquat et conforme aux principes applicables à la réparation du tort moral.</w:t>
      </w:r>
    </w:p>
    <w:p>
      <w:r>
        <w:rPr>
          <w:b/>
        </w:rPr>
        <w:t>E. 6</w:t>
      </w:r>
    </w:p>
    <w:p>
      <w:r>
        <w:t>L'appelant, qui succombe pour l’essentiel, le jugement entrepris n’étant modifié qu’en ce qui concerne le type de peine prononcée pour certaines infractions, supportera le 80% des frais de la procédure d’appel envers l'État (art. 428 CPP).</w:t>
      </w:r>
    </w:p>
    <w:p>
      <w:r>
        <w:rPr>
          <w:b/>
        </w:rPr>
        <w:t>E. 7.1</w:t>
      </w:r>
    </w:p>
    <w:p>
      <w:r>
        <w:t>L'état de frais produit par Me B______, défenseure d'office de A______, satisfait globalement les exigences légales et jurisprudentielles régissant l'assistance judiciaire gratuite en matière pénale. La durée totale des entretiens avec son mandant sera néanmoins ramenée à une heure et demie, suffisante dans le contexte d’une procédure d’appel dans un dossier connu pour avoir été plaidé récemment et suivi dès le début de l’instruction. La durée d’étude du jugement de première instance sera par ailleurs écartée s’agissant d’une activité comprise dans le forfait, tout comme la rédaction de la déclaration d’appel qui n’a pas à être motivée.</w:t>
      </w:r>
    </w:p>
    <w:p>
      <w:r>
        <w:t>- 22/26 - P/23638/2020</w:t>
      </w:r>
    </w:p>
    <w:p>
      <w:r>
        <w:t>La rémunération de Me B______ sera partant arrêtée à CHF 1'593.40 correspondant à 2h10 d'activité au tarif de CHF 200.-/heure, 7h50 d’activité au tarif de CHF 110.- /heure plus la majoration forfaitaire de 10%, un forfait de déplacement en CHF 55.- et l'équivalent de la TVA au taux de 7.7% en CHF 113.90.</w:t>
      </w:r>
    </w:p>
    <w:p>
      <w:r>
        <w:rPr>
          <w:b/>
        </w:rPr>
        <w:t>E. 7.2</w:t>
      </w:r>
    </w:p>
    <w:p>
      <w:r>
        <w:t>L'état de frais produit par Me F______, conseil juridique gratuit de D______, satisfait globalement les exigences légales et jurisprudentielles régissant l'assistance judiciaire gratuite en matière pénale. La durée de préparation aux débats d’appel sera néanmoins ramenée à cinq heures, suffisante dans le contexte d’une procédure d’appel dans un dossier connu pour avoir été plaidé. La durée d’étude du jugement de première instance sera par ailleurs écartée s’agissant d’une activité comprise dans le forfait.</w:t>
      </w:r>
    </w:p>
    <w:p>
      <w:r>
        <w:t>La rémunération de Me F______ sera partant arrêtée à CHF 1'845.25 correspondant à 7h20 d'activité au tarif de CHF 200.-/heure, plus la majoration forfaitaire de 10%, un forfait de déplacement en CHF 100.- et l'équivalent de la TVA au taux de 7.7% en CHF 131.95. * * * * *</w:t>
      </w:r>
    </w:p>
    <w:p>
      <w:r>
        <w:t>- 23/26 - P/23638/2020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