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AARP/342/2022 vom 3. November 2022</w:t>
      </w:r>
    </w:p>
    <w:p>
      <w:r>
        <w:t>GE Cour de justice, 2022-11-03, FR</w:t>
      </w:r>
    </w:p>
    <w:p>
      <w:r>
        <w:rPr>
          <w:b/>
        </w:rPr>
        <w:t xml:space="preserve">Quelle: </w:t>
      </w:r>
      <w:r>
        <w:t>https://mcp.opencaselaw.ch/entscheid/ge_gerichte_AARP_342_2022</w:t>
      </w:r>
    </w:p>
    <w:p>
      <w:r>
        <w:t>FR: GE_GERICHTE AARP/342/2022 du 3 novembre 2022</w:t>
      </w:r>
    </w:p>
    <w:p>
      <w:r>
        <w:t>IT: GE_GERICHTE AARP/342/2022 del 3 novembre 2022</w:t>
      </w:r>
    </w:p>
    <w:p>
      <w:pPr>
        <w:pStyle w:val="Heading2"/>
      </w:pPr>
      <w:r>
        <w:t>Erwägungen</w:t>
      </w:r>
    </w:p>
    <w:p>
      <w:r>
        <w:rPr>
          <w:b/>
        </w:rPr>
        <w:t>E. 11</w:t>
      </w:r>
    </w:p>
    <w:p>
      <w:r>
        <w:t>mars 2021 (art. 82 al. 4 du code de procédure pénale suisse [CPP]). a. Le 28 septembre 2016, I______ a tendu un piège à G______ en se faisant passer au téléphone pour un employé de l'OCPM, inventant un motif afin de le faire venir dans cet office dans le but de procéder ensuite à son interpellation. Cette tromperie a induit en erreur ses collègues J______, A______, C______ et E______ qui ont cru</w:t>
      </w:r>
    </w:p>
    <w:p>
      <w:r>
        <w:t>- 4/18 - P/2937/2017 au prétexte de leur mission à l'OCPM, justifiant leur déplacement sur place afin d'interpeller G______. Le même jour, celui-ci s'est donc rendu dans les bureaux de l'OCPM. Peu après, il a quitté les lieux à bord d'un véhicule [de la marque] K______ conduit par L______, dans lequel se trouvait également le frère de celui-ci, M______, assis à l'arrière, G______ étant assis à l'avant du côté passager. I______, J______, A______, C______ et E______ les ont suivis en voiture, sans immédiatement intervenir, avant de finalement procéder à l'interpellation du véhicule en marche. Les cinq agents ont circulé à bord de deux voitures de service banalisées. Pour procéder à l'interception du véhicule en mouvement, ils ont recouru à l'usage des feux bleus et de la sirène. Ils ont extrait les trois occupants de la K______, les ont entravés au moyen de menottes et ont contrôlé leur identité. b. Dans son arrêt du 11 mars 2021, la CPAR a retenu que I______ portait la responsabilité la plus lourde dans le piège tendu à G______ et qu’il avait induit en erreur ses collègues sur les motifs de leur intervention. Ceux-ci se trouvaient sous l'influence d'une erreur de droit inévitable sur leur droit d'intervenir (art. 21 CP). Pour le reste, circulant en véhicules banalisés, non munis d'une sérigraphie « police » ou d'un affichage « stop police », ils n'étaient pas équipés pour procéder à une interpellation d'un véhicule en mouvement. Une telle opération procédait d'une interprétation trop large des prérogatives des assistants de sécurité publique et d'un abus d'autorité. Le choix d’y procéder, dans les circonstances de l'espèce, notamment du fait de la présence de deux tiers non impliqués, procédait d'un abus d'autorité en raison des moyens disproportionnés employés. Ce choix était principalement imputable à I______ qui avait pris la direction de l'intervention. Il devait néanmoins également être reproché à E______, qui conduisait le second véhicule et avait joué un rôle essentiel dans l'intervention, ainsi qu'à A______, qui bien que seulement passager du véhicule conduit par I______, avait l'expérience et les connaissances nécessaires pour mettre un terme à l'opération en ramenant celui-ci à la raison et aux devoirs de leur charge. Ce qui précédait ne valait pas pour J______ et C______, qui étaient encore stagiaires au moment des faits, de surcroît passagers dans l'un et l'autre véhicule, sans avoir dès lors la maîtrise de la situation. Ces considérations n’ont pas été annulées par le Tribunal fédéral, qui a uniquement retenu que c’était à tort que la CPAR avait ensuite mis E______ et A______ au bénéfice de l’art. 52 CP pour ces faits et les avait exemptés de peine. C. a. À son retour du Tribunal fédéral, la procédure s'est poursuivie devant la CPAR par la voie écrite.</w:t>
      </w:r>
    </w:p>
    <w:p>
      <w:r>
        <w:t>b. E______ conclut au prononcé d’une peine juste et proportionnée, largement inférieure aux conclusions du MP, à ce qu’il soit tenu compte du temps écoulé et à ce que les indemnités et la répartition des frais fixés par la décision du 11 mars 2021 soient confirmées.</w:t>
      </w:r>
    </w:p>
    <w:p>
      <w:r>
        <w:t>- 5/18 - P/2937/2017</w:t>
      </w:r>
    </w:p>
    <w:p>
      <w:r>
        <w:t>c. A______ conclut au prononcé d’une peine juste et proportionnée, largement inférieure à celle prononcée par le Tribunal de police (TP), assortie du sursis complet et à ce qu’il soit tenu compte de son évolution favorable et de ses perspectives professionnelles.</w:t>
      </w:r>
    </w:p>
    <w:p>
      <w:r>
        <w:t>c. Le MP conclut au prononcé d’une peine pécuniaire de 120 jours-amende avec sursis et d’une amende de CHF 3'120.- à l’encontre de E______ et d’une peine pécuniaire de 110 jours-amende avec sursis et d’une amende de CHF 2’860.- à l’encontre de A______. Les prévenus n’avaient montré aucune prise de conscience et s’étaient complus dans une attitude arrogante et de déni. Il conclut également à ce que les frais de la procédure d’appel soient mis à charge de E______ et de A______ à raison d’un sixième chacun et à ce qu’ils soient déboutés de leurs conclusions en indemnisation.</w:t>
      </w:r>
    </w:p>
    <w:p>
      <w:r>
        <w:t>d. Par courriers de la CPAR du 7 octobre 2022, les parties ont été informées de ce que la cause était gardée à juger dans un délai de dix jours. A______ a répliqué dans ce délai, en s’opposant au prononcé d’une amende à titre de sanction immédiate. Les parties n’ont pas dupliqué. D. a. E______, de nationalité suisse, est né le ______ 1986 à Genève. Il est célibataire et père d'un enfant âgé de sept ans. Il a effectué une formation d'agent de sécurité avant d'entrer à la PSI en janvier 2011, au sein du dispositif N______, puis au DCS. Il a rejoint la BLMI en janvier 2015. Il a été affecté à la PSI en décembre 2017 et est de retour à la BRE depuis mai 2019. Son revenu mensuel net s'élève à environ CHF 7'190.-. Ses charges consistent en son loyer (CHF 1'325.-) et son assurance- maladie et celle de son fils (CHF 385.- + CHF 89.50). Il a des dettes à hauteur de CHF 41'500.- (crédit voiture, leasing scooter et remboursement carte de de crédit), montant remboursable en mensualités de CHF 1'743.-.</w:t>
      </w:r>
    </w:p>
    <w:p>
      <w:r>
        <w:t>A teneur de l'extrait du casier judiciaire suisse, il n'a pas d'antécédent.</w:t>
      </w:r>
    </w:p>
    <w:p>
      <w:r>
        <w:t>La peine prononcée le 11 mars 2021 par la CPAR à son encontre repose sur les faits suivants : à une date indéterminée, entre 2011 et le 30 avril 2013, à proximité du carrefour 1______, E______ s’est emparé du gobelet d’un mendiant non identifié et l’a conservé, ainsi que les quelques pièces qu’il contenait. b. A______, de nationalité suisse, est né le ______ 1983 à Genève. Il est célibataire et sans enfant. Il a effectué des formations de vendeur et de convoyeur de fonds puis a intégré le DCS en 2011. Il a été affecté à la BLMI en novembre 2014. Après avoir été déplacé durant une année à la brigade aérienne suite à l'ouverture de la présente procédure, il a réintégré la BRE en mai 2019. Selon ses indications, il perçoit un salaire mensuel net de CHF 7'800.-, s’acquitte d’un loyer de CHF 1'900.-, d’une prime d'assurance maladie de CHF 380.- et verse mensuellement CHF 500.- à sa</w:t>
      </w:r>
    </w:p>
    <w:p>
      <w:r>
        <w:t>- 6/18 - P/2937/2017 famille à l’étranger ainsi qu’un montant de CHF 550.- pour le leasing de son véhicule. À teneur de l'extrait du casier judiciaire suisse, il n'a pas d'antécédent. EN DROIT : 1. 1.1. 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 Conformément aux considérants de l'arrêt du Tribunal fédéral du 8 juin 2022, la Cour de céans, statuant à nouveau, doit uniquement examiner la peine à prononcer en lien avec les faits du 28 septembre 2016, conformément à l’art. 47 CP. L’erreur de droit (art. 21 CP) retenue par la Cour de céans contrairement au premier juge n’a pas à être réexaminée, pas plus que l’appréciation du rôle prépondérant de I______ dans le déroulement des événements. 2.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- 7/18 - P/2937/2017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2.3.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2.4. Le juge suspend en règle générale, notamment l'exécution d'une peine pécuniaire, lorsqu'une peine ferme ne paraît pas nécessaire pour détourner l'auteur d'autres crimes ou délits (art. 42 al. 1 CP).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w:t>
      </w:r>
    </w:p>
    <w:p>
      <w:r>
        <w:t>- 8/18 - P/2937/2017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2.5. À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p. 147). Les délais de prescription spéciaux, plus courts que les délais ordinaires, y compris celui prévu par l'art. 109 CP pour les contraventions, ne sont pas pris en considération (ATF 132 IV 1 consid. 6.1.1 p. 2). 2.6. Dans l'exercice de son pouvoir d'appréciation, le juge doit respecter, en particulier, le principe d'égalité de traitement (art. 8 al. 1 Cst. féd. ; ATF 135 IV 191 consid. 3.2). S'il est appelé à juger les coauteurs d'une même infraction ou deux coprévenus ayant participé ensemble au même complexe de faits délictueux, il est tenu de veiller à ce</w:t>
      </w:r>
    </w:p>
    <w:p>
      <w:r>
        <w:t>- 9/18 - P/2937/2017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arrêts du Tribunal fédéral 6B_1181/2020 du 29 avril 2021 consid. 1.2 ; 6B_502/2017 du</w:t>
      </w:r>
    </w:p>
    <w:p>
      <w:r>
        <w:rPr>
          <w:b/>
        </w:rPr>
        <w:t>E. 16</w:t>
      </w:r>
    </w:p>
    <w:p>
      <w:r>
        <w:t>avril 2018 consid. 4.2). 2.7. La faute des deux prévenus n’est pas minime mais néanmoins nettement moindre que celle de I______, qui a tendu un piège à la partie plaignante, a trompé ses collègues et donné l’impulsion qui a conduit à l’interception d’un véhicule en marche. Ils ont été confrontés à une situation impromptue, objectivement dangereuse, même s’ils étaient parties prenantes à sa survenance. L’enchaînement de l’interpellation du véhicule, de l’extraction et de la sécurisation des occupants sur le trottoir, leur entrave et leur contrôle se sont déroulés rapidement et sans excès de recours à la force ; les faits n’ont pas duré plus de quelques minutes. Leur décision viciée a été influencée par I______ et, comme lui, ils ont en partie été influencés par la confusion entretenue par la hiérarchie policière, voire par l’autorité politique, qui leur ont fourni les moyens de contrainte qu’il leur est reproché d’avoir utilisé et les ont formés à leur usage, sans pour autant édicter le règlement et les directives nécessaires pour clarifier les rôles et les responsabilités de leur fonction ni mettre en place de hiérarchie claire. Ces circonstances expliquent également le déni dans lequel ils ont persisté jusqu’aux débats d’appel, étant néanmoins relevé que contrairement à leur comparse, qui a cherché à cacher le piège tendu à la partie plaignante et a trompé ses collègues, les prévenus n’ont pas menti ni n’ont entraîné leurs collègues à commettre des infractions, mais simplement minimisé la gravité des faits commis et contesté leur caractère pénal. Dans l’examen de la faute et de la sanction prononcée à l’encontre de I______, la Cour de céans a considéré que la sanction théorique de son rôle dans les faits du 28 septembre 2016 s’élevait à 150 jours-amende, sanction ramenée à 120 jours- amende en application de l’art. 49 al. 2 CP (AARP/80/2021 consid. 4.6). Cette peine sanctionne toutefois un rôle nettement plus actif et plus long, ainsi qu’une collaboration nettement moins bonne que celle de E______ et A______.</w:t>
      </w:r>
    </w:p>
    <w:p>
      <w:r>
        <w:t>- 10/18 - P/2937/2017 2.7.1. En ce qui concerne E______, la peine à prononcer doit être une peine d’ensemble, incluant celle déjà prononcée le 11 mars 2021, les faits entrant en concours. A cet égard, les faits en lien avec le mendiant sont d’une indubitable gravité, en particulier de la part d’un agent détenteur de la force publique, comme déjà retenu ; il n’y a pas lieu de revenir sur leur qualification, ni sur la circonstance atténuante du long temps écoulé dont l’appelant a bénéficié. Cela étant, par comparaison, les faits du 28 septembre 2016, s’ils sont objectivement plus graves (usage indu des moyens de légitimation que sont les feux bleus et la sirène, recours à la contrainte sur des personnes, manœuvre dangereuse et susceptible de créer un accident), procèdent d’une intention de nuire nettement moindre. Si lors des faits relatifs au mendiant, il faut considérer que E______ a agi par pure malice, les faits de septembre 2016 procèdent d’une mauvaise appréciation de son rôle et sa faute est donc moindre. Les faits de 2011 représentent donc la faute la plus grave ; la peine de 30 jours-amende prononcée pour ceux-ci doit être aggravée en application de l’art. 49 al. 1 CP. Sa situation personnelle au moment des faits, qui ne présente aucune particularité, ne justifie pas ses agissements. Il n’a pas d’antécédent judiciaire, ce qui est un facteur neutre pour la fixation de la peine. Il n’y a pas lieu d’appliquer la circonstance atténuante du long temps écoulé aux faits de 2016 qui remontant à moins de sept ans. Dès lors, tout bien pesé, les faits du 28 septembre 2016 doivent conduire au prononcé d’une peine pécuniaire équivalente à celle prononcée pour les faits en lien avec le mendiant, soit une peine théorique de 30 jours, ce qui correspond à la faute nettement moindre que celle de I______ et au rôle plus ponctuel qu’a joué E______ dans ces faits. La peine d’ensemble sera donc fixée à 50 jours-amende. Le montant du jour-amende retenu par le premier juge, de CHF 130.- l'unité et qui n’a pas été spécifiquement critiqué, apparaît adapté à la situation personnelle de l’appelant et sera dès lors confirmé, tout comme le bénéfice du sursis qui lui est acquis, et le délai d’épreuve de trois ans qui est adéquat. La Cour de céans avait assorti la peine prononcée en mars 2021 d’une amende à titre de sanction immédiate, afin de favoriser la prise de conscience de la gravité des faits reprochés et de la faute commise. Compte tenu de la faute moindre en lien avec les faits de 2016, il n’y a pas lieu d’augmenter le montant de cette amende, l’amende déjà prononcée et le présent verdict étant suffisants pour favoriser cette prise de conscience.</w:t>
      </w:r>
    </w:p>
    <w:p>
      <w:r>
        <w:t>- 11/18 - P/2937/2017 2.7.2. En ce qui concerne A______, les considérations qui précèdent au sujet de la gravité relative de la faute en lien avec les faits de septembre 2016 et en comparaison avec celle de I______ valent mutatis mutandi. Sa situation personnelle au moment des faits, qui ne présente aucune particularité, ne justifie pas ses agissements. Il n’a pas d’antécédent judiciaire, ce qui est un facteur neutre pour la fixation de la peine. Il ne critique pas le montant du jour-amende fixé par le TP. Ainsi, la peine sera-t-elle arrêtée à 30 jours-amende, les fautes de E______ et A______ étant d’égale gravité. Le montant du jour-amende retenu par le premier juge, de CHF 130.- l'unité et qui n’a pas été spécifiquement critiqué, apparaît adapté à sa situation personnelle et sera dès lors confirmé, tout comme le bénéfice du sursis qui lui est acquis et le délai d’épreuve de trois ans qui est adéquat. Le MP conclut au prononcé d’une amende à titre de sanction immédiate. Il n’apparaît toutefois pas nécessaire de prononcer une telle sanction en l’espèce. Les circonstances de la présente cause échappent à la notion de délinquance de masse ; le verdict de culpabilité et le prononcé d’une peine pécuniaire avec sursis – avec toutes les conséquences que cela entraîne également sur sa vie professionnelle – sont suffisants pour assurer une prise de conscience adéquate du prévenu du sérieux de la situation. 3. 3.1.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3.2.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w:t>
      </w:r>
    </w:p>
    <w:p>
      <w:r>
        <w:t>- 12/18 - P/2937/2017 la suite d'un arrêt de renvoi du Tribunal fédéral (arrêts du Tribunal fédéral 6B_1367/2017 du 13 avril 2018 consid. 2.1 et les références ; 6B_602/2014 du 4 décembre 2014 consid. 1.3).</w:t>
      </w:r>
    </w:p>
    <w:p>
      <w:r>
        <w:t>3.3. En l’espèce, les appels de A______ et de E______ sont partiellement admis, la peine prononcée par le premier juge étant nettement réduite. L'appel joint du MP est partiellement admis en tant qu’il est dirigé contre E______, et rejeté pour le surplus. Cette configuration commande de modifier quelque peu la répartition des frais de la procédure d’appel fixée le 11 mars 2021, et de faire supporter à E______ les quatre- cinquièmes de sa part aux frais la procédure d’appel (soit deux quinzièmes des frais totaux ou CHF 982.-) et à A______ les trois-quarts de sa part aux frais (soit un huitième ou CHF 920.60) et de laisser le solde de ces frais ainsi que les frais postérieurs à l’arrêt du Tribunal fédéral à la charge de l’État. 3.4. Il n’y a pas lieu de revenir sur la répartition des frais de la procédure de première instance, qui avaient été mis à la charge des appelants dans l’arrêt du 11 mars 2021 (AARP/80/2021 consid. 4.4). 4. 4.1. 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t>4.2. En l’espèce, la CPAR a examiné les prétentions des appelants en détail dans son arrêt du 11 mars 2021 et notamment retenu que l’activité des divers conseils devait être indemnisée au tarif prévu à l’art. 9B du règlement général sur le personnel de la police (RGPPol) et qu’une activité de préparation de 18 heures pour la procédure d’appel, à laquelle s’ajoute la durée des débats (neuf heures), était adéquate, soit des honoraires d’un montant de CHF 8'723.70 (AARP/80/2021 consid. 6.6.1).</w:t>
      </w:r>
    </w:p>
    <w:p>
      <w:r>
        <w:t>- 13/18 - P/2937/2017 Ces considérations n’ont pas été contestées ni même discutées par les parties et leurs conseils et sont dès lors réputées reprises in extenso dans le présent arrêt.</w:t>
      </w:r>
    </w:p>
    <w:p>
      <w:r>
        <w:t>4.3. L’indemnisation pour les dépenses occasionnées par l'exercice raisonnable des droits de procédure en appel doit suivre le sort des frais. Ainsi, dans la mesure où E______ supporte les quatre-cinquièmes de sa part aux frais, il lui sera alloué une indemnité correspondant au cinquième de ses frais d’avocat, soit CHF 1'744.75.</w:t>
      </w:r>
    </w:p>
    <w:p>
      <w:r>
        <w:t>Dans la mesure où A______ supporte les trois-quarts des frais de la procédure d’appel lui revenant, une indemnité pour la procédure d’appel correspondant au quart de ses frais d’avocat, soit CHF 2'180.95, lui sera allouée.</w:t>
      </w:r>
    </w:p>
    <w:p>
      <w:r>
        <w:t>Les appelants seront déboutés pour le surplus de leurs conclusions en indemnisation. 5. Le Tribunal fédéral ayant annulé sans réserve l'arrêt du 11 mars 2021, les autres points du dispositif de cette décision seront repris dans le dispositif du présent arrêt. * * * * *</w:t>
      </w:r>
    </w:p>
    <w:p>
      <w:r>
        <w:t>- 14/18 - P/2937/2017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