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AARP/341/2025 vom 18. September 2025</w:t>
      </w:r>
    </w:p>
    <w:p>
      <w:r>
        <w:t>GE Cour de justice, 2025-09-18, FR</w:t>
      </w:r>
    </w:p>
    <w:p>
      <w:r>
        <w:rPr>
          <w:b/>
        </w:rPr>
        <w:t xml:space="preserve">Quelle: </w:t>
      </w:r>
      <w:r>
        <w:t>https://mcp.opencaselaw.ch/entscheid/ge_gerichte_AARP_341_2025</w:t>
      </w:r>
    </w:p>
    <w:p>
      <w:r>
        <w:t>FR: GE_GERICHTE AARP/341/2025 du 18 septembre 2025</w:t>
      </w:r>
    </w:p>
    <w:p>
      <w:r>
        <w:t>IT: GE_GERICHTE AARP/341/2025 del 18 settembre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t>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w:t>
      </w:r>
    </w:p>
    <w:p>
      <w:r>
        <w:t>- 7/17 - P/12839/2021 Tribunal fédéral 6B_324/2017 du 8 mars 2018 consid. 1.1 ; 6B_1183/2016 du 24 août 2017 consid. 1.1 ; 6B_445/2016 du 5 juillet 2017 consid. 5.1). 2.1.3. L'aveu est une preuve ordinaire qui n'a pas de valeur particulière. Il permet la condamnation de l'auteur lorsque le juge est convaincu qu'il est intervenu sans contrainte et paraît vraisemblable. Face à des aveux, suivis de rétractations, le juge doit se forger une conviction aussi bien sur les premières déclarations du prévenu que sur les nouvelles, valant rétractation, et apprécier les circonstances dans lesquelles celui- ci a modifié ses déclarations initiales (arrêts du Tribunal fédéral 6B_65/2016 du 26 avril 2016 consid. 2.2.1 ; 6B_157/2011 du 20 septembre 2011 consid. 1.2 ; 6B_626/2008 du 11 novembre 2008 consid. 2.1).</w:t>
      </w:r>
    </w:p>
    <w:p>
      <w:r>
        <w:rPr>
          <w:b/>
        </w:rPr>
        <w:t>E. 2.2</w:t>
      </w:r>
    </w:p>
    <w:p>
      <w:r>
        <w:t>Aux termes de l'art. 118 al. 1 LEI,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(arrêts du Tribunal fédéral 6B_1490/2021 du 8 septembre 2023 consid. 1.2.2 ; 6B_833/2018 du 11 février 2019 consid. 1.5.2 ; 6B_72/2015 du 27 mai 2015 consid. 2.2 ; 6B_497/2010 du 25 octobre 2010 consid. 1.1 ; Message du 8 mars 2002 concernant la loi sur les étrangers, FF 2002 3469 p. 3588 s.). La tromperie par omission est possible en cas de dissimulation de faits essentiels, pour autant que la loi prévoie une obligation de coopérer dans le domaine concerné, qui crée une position de garant, et que l'auteur de l'infraction reconnaisse l'erreur commise par l'autorité. Les exigences à cet égard sont relativement élevées. Une personne étrangère est certes tenue de coopérer à la constatation des faits et de fournir des informations exactes et complètes sur les éléments essentiels au règlement de son séjour (art. 90 let. a LEI) mais cette obligation générale de coopération ne confère toutefois pas un statut de garant, car en vertu du principe d'enquête applicable dans la procédure</w:t>
      </w:r>
    </w:p>
    <w:p>
      <w:r>
        <w:t>- 8/17 - P/12839/2021 administrative, il appartient en premier lieu aux autorités de poser les questions correspondantes à l'étranger (ATF 131 IV 83 consid. 2.1.3 ; arrêts du Tribunal fédéral 2C_736/2015 du 22 février 2016 ; 6S_288/2000 du 28 septembre 2000 consid. 4 ; L. VETTERLI / G. D'ADDARIO DI PAOLO, in Bundesgesetz über die Ausländerinnen und Ausländer (AuG), 2ème éd., Berne 2024, n. 5 ad art. 118 ; G. SAUTHIER, Code annoté de droit des migrations, vol. II, Loi sur les étrangers, Berne 2017, n. 8 ad art. 118). Le résultat de l'infraction se produit lorsque l'autorisation de séjour est accordée ou n'est pas retirée ; à défaut, il s'agit d'une tentative (AARP/63/2025 du 20 février 2025 consid. 3.3 ; AARP/309/2022 du 6 octobre 2022 consid. 2.3.2). L'infraction est intentionnelle. Le dol éventuel suffit (arrêt du Tribunal fédéral 6B_838/2018 du janvier 2022 consid. 5.1).</w:t>
      </w:r>
    </w:p>
    <w:p>
      <w:r>
        <w:rPr>
          <w:b/>
        </w:rPr>
        <w:t>E. 2.3</w:t>
      </w:r>
    </w:p>
    <w:p>
      <w:r>
        <w:t>A teneur de l'art. 153 CP, quiconque détermine une autorité chargée du registre du commerce à procéder à l'inscription d'un fait contraire à la vérité ou lui tait un fait devant être inscrit est puni d'une peine privative de liberté de trois ans au plus ou d'une peine pécuniaire. Cette disposition protège la foi publique attachée au Registre du commerce (arrêts du Tribunal fédéral 6B_966/2019 du 15 octobre 2019 consid. 2.1.2 ; 6B_968/2018 du 8 avril 2019 consid. 2.2.2). L'art. 153 CP concerne toute inscription mensongère ou incomplète portée au registre du commerce, qu'elle contienne des faits dont l'inscription est obligatoire ou facultative (FF 1991 933 1006). Peu importe, en outre, que les faits inscrits ou qui auraient dû l'être soient de nature à porter préjudice ou même propre à tromper autrui. Entrent en ligne de compte en tant qu'objet de l'inscription, les éléments relatifs aux personnes dont le nom doit apparaître au registre du commerce, leur domicile, leur nationalité, etc. L'inscription est réputée consommée dès que l'inscription mensongère ou passant sous silence un fait devant être inscrit est portée dans le registre. L'infraction est de nature intentionnelle. Le dol éventuel suffit (M. DUPUIS / L. MOREILLON / C. PIGUET / S. BERGER / M. MAZOU / V. RODIGARI, Petit commentaire du Code pénal, 2ème éd., 2017, n. 4, 5, 7 et 8 ad art. 153). 2.4.1. En l'espèce, l'appelante, entendue dans le cadre de la présente procédure pénale, a admis spontanément à la police, le 31 mai 2021, être domiciliée à D______, en France, depuis 1995. Elle est ensuite immédiatement revenue sur ses déclarations, en ce qu'elle n'était en réalité retournée vivre en France qu'au début de l'année 2020, reconnaissant de manière paradoxale que son époux, qui vivait également en France depuis 2006, et elle-même, avaient obtenu leurs autorisations de séjour en faisant de fausses déclarations et</w:t>
      </w:r>
    </w:p>
    <w:p>
      <w:r>
        <w:t>- 9/17 - P/12839/2021 précisant qu'ils ne versaient rien en échange de leur domiciliation à J______. Elle a par ailleurs admis, par le biais de son avocate, avoir fait preuve de "légèreté" dans ses démarches administratives. Outre le fait que ses déclarations ultérieures sont contradictoires entre elles mais également contredites par les données de l'OCPM au sujet du domicile genevois de K______, ainsi que par la naissance et la domiciliation de ses enfants sur le sol français, les aveux initiaux de l'appelante sont corroborés par ceux de son époux, qui a indiqué qu'ils vivaient en France depuis 2006 et que leur adresse helvétique – fictive – n'avait été créée qu'afin d'obtenir un titre de séjour, étant précisé qu'il a été condamné pour ces faits, dite condamnation étant devenue définitive et exécutoire. Ces confessions, intervenues sans contrainte, quoi qu'en dise l'époux, sont partant crédibles et suffisent à elles seules à emporter la conviction du domicile français durant la période pénale. Ainsi, il est établi que l'appelante a obtenu frauduleusement, puis évité le retrait de son autorisation de séjour en indiquant à l'OCPM, dans les formulaires remplis les 14 octobre 2015, 14 mai et 4 juillet 2018, un domicile fictif à Genève, alors qu'elle résidait en France, soit en donnant de fausses indications sur des faits essentiels, puisque sans cette tromperie, l'autorisation de séjour ne lui aurait ni été octroyée ni n'aurait été renouvelée. Néanmoins, l'appelante ne saurait être reconnue coupable pour l'ensemble de la période pénale, mais seulement pour ses agissements aux dates susmentionnées, dès lors qu'elle n'occupait manifestement pas une position de garant vis-à-vis des autorités. L'intention ne fait pas de doute, dans la mesure où elle a admis avoir fait de fausses déclarations sur ses lieu de résidence et liens avec la Suisse pour obtenir son titre de séjour, ce qui a également été confirmé par son mari. Elle connaissait ainsi la nécessité de cette condition d'octroi, ayant d'ailleurs pris la peine de remplir un formulaire de changement d'adresse en mai 2018, concomitamment à la demande d'autorisation de séjour adressée par son époux à cette même date, mais aussi à l'inscription de la société E______ SNC. Bien qu'il ne soit pas essentiel de connaître les raisons personnelles qui l'ont poussée à agir de la sorte, l'intérêt à obtenir un titre de séjour, puis d'établissement en Suisse est, quoi qu'elle en dise, manifeste, notamment s'agissant des avantages sociaux, même pour un ressortissant français. 2.4.2. Il est également établi que l'appelante a déterminé, avec conscience et volonté, un fonctionnaire à inscrire, le ______ 2018, ladite société en nom collectif au registre</w:t>
      </w:r>
    </w:p>
    <w:p>
      <w:r>
        <w:t>- 10/17 - P/12839/2021 du commerce avec la mention d'un fait contraire à la vérité, soit qu'elle était domiciliée à Genève, puisqu'elle résidait en réalité en France. Il importe peu que l'inscription de sa société ait été facultative, dès lors qu'il ressort des textes légaux que cette disposition concerne toute inscription au registre du commerce, qu'elle contienne des faits dont l'inscription est obligatoire ou facultative, cette norme visant à protéger la foi publique attachée au registre du commerce. 2.4.3. Au vu de ce qui précède, la prévenue sera reconnue coupable de comportement frauduleux à l'égard des autorités (art. 118 al. 1 LEI) et de fausses communications aux autorités chargées du registre du commerce (art. 153 CP). Son appel sera partant rejeté et le jugement entrepris confirmé.</w:t>
      </w:r>
    </w:p>
    <w:p>
      <w:r>
        <w:rPr>
          <w:b/>
        </w:rPr>
        <w:t>E. 3</w:t>
      </w:r>
    </w:p>
    <w:p>
      <w:r>
        <w:t>3.1.1. Les nouvelles dispositions sur le droit des sanctions sont entrées en vigueur le 1er janvier 2018. En l'espèce, la nouvelle mouture de l'art. 34 CP, prévoyant la possibilité de prononcer une peine pécuniaire de 180 jours-amende au plus, est plus favorable à l'appelante, dès lors que le prononcé d'une peine pécuniaire lui est acquis. Il sera ainsi fait application du nouveau droit des sanctions en vertu du principe de la lex mitior (art. 2 al. 2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- 11/17 - P/12839/2021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- 12/17 - P/12839/2021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3.1.6. Selon l'art. 48 let. e CP, le juge atténue la peine si l'intérêt à punir a sensiblement diminué en raison du temps écoulé depuis l'infraction et que l'auteur s'est bien comporté dans l'intervalle. L'atténuation de la peine pour cette raison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 3.1.7.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 ou du sursis partiel –, un pronostic quant au comportement futur de l'auteur. En l'absence de pronostic défavorable, il doit prononcer le sursis. Celui-ci est ainsi la règle dont le juge ne peut s'écarter qu'en</w:t>
      </w:r>
    </w:p>
    <w:p>
      <w:r>
        <w:t>- 13/17 - P/12839/2021 présence d'un pronostic défavorable ou hautement incertain (ATF 135 IV 180 consid. 2.1 ; 134 IV 1 consid .4.2.2). 3.2.1. En l'espèce, l'appelante a commis, en l'espace d'un peu moins de trois ans, plusieurs délits, s'en prenant à la foi publique et aux règles en matière de police des étrangers. Il ne faut pas sous-estimer le dommage pour la collectivité de ce type d'infractions, puisque cela mobilise constamment les nombreux acteurs appelés à effectuer des contrôles et à réprimander les comportements illégaux, sans préjudice des conséquences de la perte définitive de deniers publics. L'appelante a agi au mépris des interdits en vigueur pour des mobiles égoïstes et par pure convenance personnelle. Ses circonstances personnelles ne justifient pas son comportement. Sa collaboration à la procédure ne peut être qualifiée de bonne ; l'appelante a persisté à nier sa culpabilité et s'est même parfois montrée défiante envers l'autorité, n'ayant pas comparu à l'audience de jugement. Sa résipiscence est inexistante. Elle n'a exprimé aucun regret, ni présenté d'excuses. Le casier judiciaire de l'appelante fait état de trois condamnations depuis 2020, dont une spécifique. Malgré l'ancienneté des faits, faute de bon comportement dans l'intervalle, l'appelante ne saurait se prévaloir du motif justificatif du temps écoulé. 3.2.2. Le prononcé d'une peine pécuniaire est acquis à l'appelante. Cette peine sera complémentaire à celle prononcée le 17 décembre 2020 par le MP, soit la condamnation suivant immédiatement les faits. Si toutes les infractions avaient dû être coréprimées, le juge aurait retenu comme infractions abstraitement les plus graves celles à l'art. 118 al. 1 LEI, commises à trois reprises entre les 14 octobre 2015 et 4 juillet 2018, justifiant à elles seules, une peine de base de 90 jours. Elle sera augmentée de 30 jours supplémentaires en raison de l'infraction à l'art. 153 CP (peine hypothétique de 60 jours) et de 60 jours pour l'emploi d'étrangers sans autorisation (peine hypothétique de 90 jours). La peine pécuniaire d'ensemble aurait ainsi été arrêtée à 180 jours et la peine pécuniaire additionnelle, compte tenu de celle prononcée le 4 juillet 2018, devrait être de 90 jours. Cette peine sera toutefois ramenée à 70 jours, compte tenu de l'interdiction de la refomatio in pejus (art. 391 al. 2 CPP). 3.2.3. Le montant du jour-amende, fixé à CHF 50.- par le premier juge, sera néanmoins réduit à CHF 30.-, compte tenu de la situation financière de l'appelante.</w:t>
      </w:r>
    </w:p>
    <w:p>
      <w:r>
        <w:t>- 14/17 - P/12839/2021 3.2.4. Le sursis ne sera pas accordé. En effet, le pronostic n'apparait pas sous un jour favorable, faute de prise de conscience et au vu des multiples récidives de la prévenue. La non révocation des sursis octroyés par le MP les 17 décembre 2020 et 28 avril 2021 est acquise à l'appelante. 3.2.5. Ainsi, l'appel est partiellement admis sur la question du montant du jour-amende et rejeté pour le surplus. Le jugement entrepris sera reformé en ce sens.</w:t>
      </w:r>
    </w:p>
    <w:p>
      <w:r>
        <w:rPr>
          <w:b/>
        </w:rPr>
        <w:t>E. 4.1</w:t>
      </w:r>
    </w:p>
    <w:p>
      <w:r>
        <w:t>N'obtenant que partiellement gain de cause, l'appelante supportera deux tiers des frais de la procédure d'appel, comprenant un émolument d'arrêt de CHF 1'500.-, et le solde sera laissé à charge de l'État.</w:t>
      </w:r>
    </w:p>
    <w:p>
      <w:r>
        <w:rPr>
          <w:b/>
        </w:rPr>
        <w:t>E. 4.2</w:t>
      </w:r>
    </w:p>
    <w:p>
      <w:r>
        <w:t>Vu la confirmation du verdict de culpabilité, les frais de la procédure préliminaire et de première instance ne seront toutefois pas revus.</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le collaborateur (let. b),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w:t>
      </w:r>
    </w:p>
    <w:p>
      <w:r>
        <w:t>- 15/17 - P/12839/2021 précédente, ne saurait donner lieu à indemnisation ou à indemnisation supplémentaire (AARP/295/2015 du 12 juillet 2015 consid. 8.2.2.3, 8.2.2.6, 8.3.1.1 et 8.3.2.1).</w:t>
      </w:r>
    </w:p>
    <w:p>
      <w:r>
        <w:t>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Considéré globalement, l'état de frais produit par Me B______, défenseure d'office de A______, satisfait les exigences légales et jurisprudentielles régissant l'assistance judiciaire gratuite en matière pénale, à l'exception de la rédaction de la déclaration d'appel, pour laquelle une heure sera déduite sur les 5 heures et 30 minutes facturées également pour la rédaction du mémoire d'appel, et de l'examen du jugement motivé, prestations comprises dans le forfait.</w:t>
      </w:r>
    </w:p>
    <w:p>
      <w:r>
        <w:t>En conclusion, la rémunération sera arrêtée à CHF 1'232.30 correspondant à 6 heures et 20 minutes d'activité au tarif de CHF 150.-/heure (CHF 950.-) plus la majoration forfaitaire de 20% (CHF 190.-) et l'équivalent de la TVA au taux de 8.1% en CHF 92.30. * * * * *</w:t>
      </w:r>
    </w:p>
    <w:p>
      <w:r>
        <w:t>- 16/17 - P/12839/2021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