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AARP/341/2018 vom 29. Oktober 2018</w:t>
      </w:r>
    </w:p>
    <w:p>
      <w:r>
        <w:t>GE Cour de justice, 2018-10-29, FR</w:t>
      </w:r>
    </w:p>
    <w:p>
      <w:r>
        <w:rPr>
          <w:b/>
        </w:rPr>
        <w:t xml:space="preserve">Quelle: </w:t>
      </w:r>
      <w:r>
        <w:t>https://mcp.opencaselaw.ch/entscheid/ge_gerichte_AARP_341_2018</w:t>
      </w:r>
    </w:p>
    <w:p>
      <w:r>
        <w:t>FR: GE_GERICHTE AARP/341/2018 du 29 octobre 2018</w:t>
      </w:r>
    </w:p>
    <w:p>
      <w:r>
        <w:t>IT: GE_GERICHTE AARP/341/2018 del 29 ottobre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w:t>
      </w:r>
    </w:p>
    <w:p>
      <w:r>
        <w:t>- 9/17 - P/15642/2017 transcrites (arrêts du Tribunal fédéral 6B_753/2016 du 24 mars 2017 consid. 1.2 et les références ; 6B_146/2016 du 22 août 2016 consid. 4.1). 2.2.1. En application de l'art. 158 CPP, au début de la première audition, la police ou le Ministère public informent, en particulier, le prévenu dans une langue qu'il comprend qu'il peut demander l'assistance d'un traducteur ou d'un interprète (al. 1 let. d). Les auditions effectuées sans que ces informations aient été données ne sont pas exploitables (al. 2). 2.2.2. La direction de la procédure fait appel à un interprète lorsqu'une personne participant à la procédure ne comprend pas la langue de la procédure ou n'est pas en mesure de s'exprimer suffisamment bien dans cette langue (art. 68 al. 1 CPP). Le contenu essentiel des actes de procédure les plus importants est porté à la connaissance du prévenu oralement ou par écrit dans une langue qu'il comprend, même si celui-ci est assisté d'un défenseur (art. 68 al. 2 CPP). Cette dernière disposition renvoie aux droits particuliers du prévenu, qui découlent pour l'essentiel des art. 32 al. 2 Cst., 6 par. 3 let. a et e de la CEDH et 14 par. 3 let. a et f du Pacte international relatif aux droits civils et politiques du 16 décembre 1966 (RS 0.103.2 ; Pacte ONU II), ainsi que de la pratique y relative.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(arrêts du Tribunal fédéral 6B_397/2015 du 26 novembre 2015 consid. 1.1 et 6B_587/2013 du 22 décembre 2014 consid. 5.2 et les références citées). 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SJ 2013 II 429/430 et les références citées). 2.3.1. Selon l'art. 91 al. 1 let. a LCR, quiconque a conduit un véhicule automobile en état d'ébriété, est puni de l'amende. A teneur de l'al. 2 let. a, la peine sera une peine privative de liberté de trois ans au plus ou une peine pécuniaire lorsque le taux d'alcoolémie dans le sang ou dans l'haleine est qualifié.</w:t>
      </w:r>
    </w:p>
    <w:p>
      <w:r>
        <w:t>2.3.2. Aux termes de l'art. 55 al. 6 let. b LCR, l'Assemblée fédérale fixe dans une ordonnance le taux qualifié d'alcool dans l'haleine et dans le sang.</w:t>
      </w:r>
    </w:p>
    <w:p>
      <w:r>
        <w:t>- 10/17 - P/15642/2017 2.3.3. L'art. 1 de l'ordonnance de l'Assemblée fédérale concernant les taux d'alcoolémie limites admis en matière de circulation routière du 21 mars 2003 (RS - 741.13)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2.3.4. Selon l'art. 10a de l'ordonnance sur le contrôle de la circulation routière (741.013 - OCCR), le contrôle de l'alcool dans l'air expiré peut être effectué au moyen d'un éthylotest au sens de l'art. 11 ou d'un éthylomètre au sens de l'art. 11a. L'art. 11 al. 1 let. a OCCR prescrit que le contrôle effectué au moyen d'un éthylotest peut avoir lieu au plus tôt après un délai d'attente de 20 minutes, tandis que celui effectué au moyen d'un éthylomètre après 10 minutes au minimum (art. 11a al. 1 OCCR). 2.3.5. Aux termes de l'art. 13 al. 1 OCCR, la police est notamment tenue d'informer la personne concernée qu'une prise de sang sera ordonnée en cas de refus de coopérer à un test préliminaire ou au contrôle au moyen de l'éthylomètre (art. 55 al. 3 LCR) (let. a.), que la reconnaissance du résultat du contrôle de l'alcool dans l'air expiré entraînera l'introduction d'une procédure administrative et d'une procédure pénale (let. b.) et qu'elle peut exiger une prise de sang (let. c.). 2.4.1. En l'espèce, l'appelant a admis avoir consommé, le 16 juillet 2017, de l'alcool, soit des bières et de la vodka, avant de prendre le volant de sa voiture. En revanche, il conteste le taux d'alcoolémie qualifié mesuré lors du contrôle de police dont il a fait l'objet à cette date, soutenant le manque de fiabilité de cette mesure et son incompréhension du français l'ayant conduit à ne pas saisir qu'il renonçait à une prise de sang tout comme à son droit d'être assisté par un interprète. Plusieurs éléments du dossier font apparaître comme douteuse la prétendue ignorance de la langue française par l'appelant, lequel vit et travaille à Genève depuis presque neuf ans au moment du contrôle routier de juillet 2017, quand bien même il côtoie au quotidien essentiellement des collègues et un employeur portugais. Ainsi, les différentes réponses aux questions qui lui ont été posées en français lors de sa première audition sont parfaitement cohérentes et n'autorisent pas à douter de sa compréhension de cette langue. Celles-ci comportent suffisamment de détails qui démontrent qu'il a saisi ce qui lui était demandé et à son tour s'est fait comprendre de la police qui a transcrit ses propos. Il en est ainsi du type d'alcool consommé durant</w:t>
      </w:r>
    </w:p>
    <w:p>
      <w:r>
        <w:t>- 11/17 - P/15642/2017 la soirée, de l'heure de la dernière ingestion et de son interpellation par le passé pour conduite en état d'ébriété. Il ressort également de ses propres déclarations qu'il a été en mesure d'appréhender les explications, toujours en français, du gendarme, lorsque celui-ci lui a indiqué que le test d'alcoolémie effectué au moyen de l'éthylomètre était tout autant fiable qu'une prise de sang et qu'il lui aurait fait confiance à ce sujet. Ces éléments démontrent aussi que l'appelant s'est interrogé à ce sujet et rend ainsi particulièrement peu crédible ses affirmations subséquentes selon lesquelles la police ne lui aurait pas offert de procéder à une prise de sang, pourtant systématiquement proposée. Le contrôle de police dont a fait l'objet l'appelant était, selon le gendarme, dont il n'y a aucune raison de douter de la crédibilité, parfaitement conforme à la procédure habituelle qui doit être suivie en cas de suspicion d'alcoolémie du conducteur. En effet, bien que cet agent de police ne se souvienne pas de ce contrôle en particulier, les documents signés en français par l'appelant – sans réserve – attestent de cette conformité et du fait que celui-ci n'avait pas de problème de compréhension de cette langue. Ainsi, sur la base des documents au contenu sans équivoque signés par l'appelant et des explications de l'agent de police, la Cour retiendra, à ce stade déjà, que l'appelant a valablement été informé de ses droits et obligations et qu'il a, en connaissance de cause, renoncé à la prise de sang et à la présence d'un interprète en portugais, maitrisant suffisamment le français pour valablement comprendre la portée de sa décision. Il a dans les mêmes circonstances, par sa signature sur le résultat de l'éthylomètre, admis la valeur mesurée par celui-ci, laquelle ne semble de loin pas disproportionnée avec la consommation reconnue de bières et de vodka. Aucun élément au dossier – excepté ses déclarations quatre mois après les faits – ne vient soutenir qu'il aurait signé les documents qui lui ont alors été présentés sans en saisir le contenu, dénué de toute ambiguïté, qu'il s'agisse du formulaire de renonciation à une prise de sang ou de la première page du procès-verbal d'audition qui mentionne le portugais comme langue maternelle et le français comme langue parlée, respectivement l'absence de besoin d'un traducteur. L'appelant reconnait ne pas avoir sollicité la présence d'un interprète à l'occasion de ses deux précédentes arrestations, pourtant antérieures de plusieurs années à celle de juillet 2017 de sorte qu'il devait alors maitriser le français dans une moindre mesure. Il ne convainc pas en pensant le justifier par le fait d'avoir "humblement accepté" ce que lui disait la police à cette époque. Par ailleurs, contrairement à ce qu'il affirme, il n'a pas signé "en bloc" à la fin de son audition les documents dont il conteste le contenu, sous-entendant par-là qu'il n'avait pas eu le temps d'en distinguer les subtilités. A teneur de ces pièces il a en effet signé à 06h35 ses "DROITS ET OBLIGATIONS", à 06h55 le "RÉSULTAT DE L'ÉTHYLO- MÈTRE" et à 07h30 le "PROCÈS-VERBAL D'AUDITION".</w:t>
      </w:r>
    </w:p>
    <w:p>
      <w:r>
        <w:t>- 12/17 - P/15642/2017 L'ensemble de ces éléments démontre la propension de l'appelant à accommoder la réalité des faits à ses thèses fantaisistes. Dans ce même registre, la Cour constate qu'il n'a pas hésité à mentir à la police en donnant l'identité de son frère lors du contrôle du 2 décembre 2017. Bien plus, alors que la police lui avait demandé d'amener ses documents d'identité au poste, il a demandé à son frère d'effectuer cette démarche, pensant certainement que son stratagème ne serait pas découvert. C'était toutefois sans compter sur la bonne mémoire visuelle des policiers. Enfin, l'appelant n'a eu aucun scrupule à donner aux diverses autorités des explications contradictoires sur son cahier des charges chez son employeur impliquant la conduite ou non d'un véhicule et sa fréquence. Dans ces circonstances, les déclarations de l'appelant manquent singulièrement de crédibilité et la CPAR retiendra qu'aucune règle de procédure quant à la validité du contrôle, respectivement aux droits du prévenu n'a été viciée en marge de son contrôle du 16 juillet 2017. Il n'est donc point besoin de discuter les conséquences d'un manquement que la CPAR n'a pas constaté. 2.4.2. Ayant ainsi valablement renoncé à une prise de sang et sur la base du test de l'éthylomètre dont le résultat ne prête pas le flanc à la critique, l'appelant doit être reconnu coupable de conduite en état d'ébriété avec un taux d'alcool qualifié au sens de l'art. 91 al. 2 lit. a LCR et le jugement entrepris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- 13/17 - P/15642/2017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3.2</w:t>
      </w:r>
    </w:p>
    <w:p>
      <w:r>
        <w:t>Les nouvelles dispositions sur le droit des sanctions sont entrées en vigueur le 1er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w:t>
      </w:r>
    </w:p>
    <w:p>
      <w:r>
        <w:t>3.3.1.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- 14/17 - P/15642/2017 3.3.2. La peine menace prévue aux art. 91 al. 2 let. a et 95 al. 1 let. b LCR est une peine privative de liberté de trois ans au plus ou une peine pécuniaire, tandis qu'une infraction à l'art. 99 ch. 3 LCR est sanctionné d'une amende.</w:t>
      </w:r>
    </w:p>
    <w:p>
      <w:r>
        <w:rPr>
          <w:b/>
        </w:rPr>
        <w:t>E. 3.4</w:t>
      </w:r>
    </w:p>
    <w:p>
      <w:r>
        <w:t>En l'espèce, hormis en lien avec l'acquittement requis, l'appelant ne conteste ni le genre ni la quotité de la peine prononcée par le premier juge. Cette peine tient adéquatement compte de la faute de l'appelant, qu'il a qualifiée à juste titre d'importante, celui-ci n'ayant pas hésité à conduire sous l'effet d'un taux qualifié d'alcool, allant même jusqu'à faire le trajet Genève-______ [VD]-Genève afin de raccompagner un ami et mettant ainsi en danger la vie de nombreux usagers de la route, dont celle de son ou ses passagers. Il n'a ensuite pas hésité à conduire alors qu'il se savait faire l'objet d'une mesure de retrait de permis en lien avec ces faits, dénotant son total mépris pour la loi. Les mobiles de l'appelant sont futiles et égoïstes. Sa collaboration est mauvaise. L'appelant a contesté l'évidence après avoir compris l'enjeu du taux d'alcoolémie détecté par l'éthylomètre en juillet 2017 et n'a pas hésité, jusqu'à ce que la police découvre le stratagème, à se faire passer pour son frère afin d'éviter d'assumer sa responsabilité face aux infractions routières commises en décembre 2017. Sa prise de conscience est inexistante. Il n'a cessé, en appel encore, de minimiser ses actes, allant jusqu'à mettre en cause l'intégrité des policiers ayant procédé au contrôle du mois de juillet 2017 en prétendant qu'ils avaient bafoué ses droits d'être assisté d'un interprète et d'être soumis à une prise de sang. Sa situation personnelle, plutôt bonne, est sans rapport avec les faits reprochés. Il avait toute latitude d'agir en respectant la loi, étant rappelé qu'il a grandement varié dans ses explications s'agissant de la nécessité ou non de conduire un véhicule automobile pour les besoins de son emploi, respectivement la fréquence s'agissant des faits de décembre 2017. Rien ne commandait qu'il prenne le volant en état d'ébriété qualifié en juillet 2017. L'appelant a des antécédents spécifiques en matière de LCR et n'a manifestement tiré aucun enseignement de ses deux précédentes condamnations. Il y a concours d'infractions, ce qui a un effet aggravant sur la peine. Le type de peine, des jours-amende, lui est acquis (art. 391 al. 2 CPP). La quotité de 110 jours-amende retenue par le premier juge tient adéquatement compte de tous les éléments qui précèdent et sera confirmée.</w:t>
      </w:r>
    </w:p>
    <w:p>
      <w:r>
        <w:t>- 15/17 - P/15642/2017 Le montant unitaire de CHF 30.- s'avère conforme à la situation personnelle et financière de l'appelant et n'est d'ailleurs pas contesté. Le jugement de première instance sera partant confirmé également sur ces points.</w:t>
      </w:r>
    </w:p>
    <w:p>
      <w:r>
        <w:rPr>
          <w:b/>
        </w:rPr>
        <w:t>E. 4</w:t>
      </w:r>
    </w:p>
    <w:p>
      <w:r>
        <w:t>L'appelant, qui succombe, supportera les frais de la procédure envers l'État comprenant un émolument de CHF 2'000.- (art. 428 CPP et et art. 14 al. 1 let. e du Règlement fixant le tarif des frais en matière pénale du 22 décembre 2010 [RTFMP ; E 4 10.03]).</w:t>
      </w:r>
    </w:p>
    <w:p>
      <w:r>
        <w:rPr>
          <w:b/>
        </w:rPr>
        <w:t>E. 5</w:t>
      </w:r>
    </w:p>
    <w:p>
      <w:r>
        <w:t>Compte tenu de l'issue de son appel, l'appelant sera débouté de ses conclusions en indemnisation (art. 429 CPP a contrario). * * * * *</w:t>
      </w:r>
    </w:p>
    <w:p>
      <w:r>
        <w:t>- 16/17 - P/15642/2017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