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AARP/341/2017 vom 18. Oktober 2017</w:t>
      </w:r>
    </w:p>
    <w:p>
      <w:r>
        <w:t>GE Cour de justice, 2017-10-18, FR</w:t>
      </w:r>
    </w:p>
    <w:p>
      <w:r>
        <w:rPr>
          <w:b/>
        </w:rPr>
        <w:t xml:space="preserve">Quelle: </w:t>
      </w:r>
      <w:r>
        <w:t>https://mcp.opencaselaw.ch/entscheid/ge_gerichte_AARP_341_2017</w:t>
      </w:r>
    </w:p>
    <w:p>
      <w:r>
        <w:t>FR: GE_GERICHTE AARP/341/2017 du 18 octobre 2017</w:t>
      </w:r>
    </w:p>
    <w:p>
      <w:r>
        <w:t>IT: GE_GERICHTE AARP/341/2017 del 18 ottobre 2017</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déjà été définitivement tranché par le Tribunal fédéral (ATF 104 IV 276 consid. 3b p. 277 ; ATF 103 IV 73 consid. 1 p. 74) et par les constatations de fait qui n'ont pas été attaquées devant lui ou l'ont été sans succès (ATF 131 III 91 consid. 5.2 ; cf. aussi arrêt du Tribunal fédéral 6B_440/2014 du 27 août 2013 consid. 1.1).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p. 94 ; arrêts du Tribunal fédéral 6B_588/2012 du 11 février 2013 consid. 3.1 et 6B_534/2011 du 5 janvier 2012 consid. 1.2).</w:t>
      </w:r>
    </w:p>
    <w:p>
      <w:r>
        <w:t>- 10/19 - P/6885/2013 La motivation de l'arrêt de renvoi détermine dans quelle mesure la cour cantonale est liée à la première décision, décision de renvoi qui fixe aussi bien le cadre du nouvel état de fait que celui de la nouvelle motivation juridique (ATF 135 III 334 consid. 2 p. 335). Ce principe connaît toutefois une exception pour des points qui n'ont pas été attaqués ou ne l'ont pas été valablement, mais qui sont intimement liés à ceux sur lesquels le recours a été admis. Ainsi, dans la fixation de la peine, l'autorité cantonale, à qui le Tribunal fédéral a renvoyé la cause pour qu'il soit statué à nouveau, est libre d'apprécier autrement que dans le premier jugement si une circonstance atténuante peut être retenue. En effet, elle doit infliger la peine qui, au vu de l'ensemble des circonstances, lui paraît appropriée. Elle doit tenir compte notamment de la situation personnelle du prévenu au moment du nouveau prononcé (ATF 113 IV 47 et arrêt du Tribunal fédéral 6B_1276/2015 du 29 juin 2016 consid. 1.2.1).</w:t>
      </w:r>
    </w:p>
    <w:p>
      <w:r>
        <w:rPr>
          <w:b/>
        </w:rPr>
        <w:t>E. 1.2</w:t>
      </w:r>
    </w:p>
    <w:p>
      <w:r>
        <w:t>En l'occurrence, la juridiction d'appel a été invitée par le TF à libérer l'appelant du chef d'accusation d'abus de confiance et, cela fait, à statuer à nouveau sur la quotité de la peine infligée à l'intéressé. L'annulation de l'arrêt du 16 mars 2016 doit également amener la Cour de céans à réexaminer la question des frais et des dépens.</w:t>
      </w:r>
    </w:p>
    <w:p>
      <w:r>
        <w:rPr>
          <w:b/>
        </w:rPr>
        <w:t>E. 2.1</w:t>
      </w:r>
    </w:p>
    <w:p>
      <w:r>
        <w:t>Les infractions d'exposition selon l'art. 127 CP, d'escroquerie au sens de l'art. 146 al. 1 CP et de faux dans les titres d'après l'art. 251 CP dont l'appelant s'est rendu coupable sont, chacune, réprimées d'une peine privative de liberté de cinq ans au plus ou d'une peine pécuniaire.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- 11/19 - P/6885/2013 (ATF 134 IV 17 consid. 2.1 p. 19 ss ; 129 IV 6 consid. 6.1 p. 20 ss ; arrêt du TF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TF 6B_1249/2014 du 7 septembre 2015 consid. 1.2). Le juge doit infliger la peine qui, au vu de l'ensemble des circonstances, lui paraît appropriée et doit, à cet effet, tenir compte notamment de la situation personnelle du prévenu au moment du nouveau prononcé (arrêt du TF 6B_1276/2015 du 29 juin 2016 consid. 1.2.1).</w:t>
      </w:r>
    </w:p>
    <w:p>
      <w:r>
        <w:t>2.2.2.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2.3.1.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t>- 12/19 - P/6885/2013 2.3.2. En cas de concours rétrospectif partiel, soit lorsque, parmi plusieurs infractions à juger, l'une au moins a été commise avant d'autres jugées précédemment (cf. art. 49 al. 2 CP), il faut déterminer d'abord celle pour laquelle la loi prévoit la peine la plus grave. Lorsque l'infraction la plus grave est celle à juger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(ATF 116 IV 14 consid. 2b p. 17 et les références citées ; arrêt du TF 6B_685/2010 du 4 avril 2011 consid. 4.1). Les principes développés sous l'ancien droit demeurent applicables après l'entrée en vigueur de la nouvelle partie générale du Code pénal (arrêts du TF 6B_685/2010 du</w:t>
      </w:r>
    </w:p>
    <w:p>
      <w:r>
        <w:rPr>
          <w:b/>
        </w:rPr>
        <w:t>E. 2.5</w:t>
      </w:r>
    </w:p>
    <w:p>
      <w:r>
        <w:t>Lorsque le prévenu est condamné pour plusieurs infractions en première instance, puis qu'il est acquitté de certains chefs d'accusation en appel, sa faute est diminuée, ce qui doit entraîner en principe une réduction de la peine. La juridiction d'appel est toutefois libre de maintenir la peine infligée en première instance, mais</w:t>
      </w:r>
    </w:p>
    <w:p>
      <w:r>
        <w:t>- 13/19 - P/6885/2013 elle doit motiver sa décision, par exemple en expliquant que les premiers juges auraient mal apprécié les faits en fixant une peine trop basse qu'il n'y aurait pas lieu de réduire encore (cf. art. 50 CP ; ATF 118 IV 18 consid. 1c/bb p. 21 ; ATF 117 IV 395 consid. 4 p. 397 ; arrêt du TF 6B_335/2016 du 24 janvier 2017 consid. 3.3.1 et les références ; cf. également arrêts du TF 6B_859/2013 du 2 octobre 2014 consid. 4.2 ; 6B_1066/2013 du 27 février 2014 consid. 5.2.1).</w:t>
      </w:r>
    </w:p>
    <w:p>
      <w:r>
        <w:rPr>
          <w:b/>
        </w:rPr>
        <w:t>E. 2.6</w:t>
      </w:r>
    </w:p>
    <w:p>
      <w:r>
        <w:t>Pour la CPAR, le qualificatif de "lourd" est équivalent à celui de "grave" proposé par l'appelant. L'un comme l'autre terme appréhendent adéquatement la gravité de sa faute, en ce sens qu'elle n'est ni anodine, ni légère, ni moyenne mais pas non plus très, ni encore moins extrêmement, lourde ou grave. En effet, comme souligné également par le TF, le condamné, après avoir emmené la victime à ______ malgré son état de santé fragile a manqué à son engagement de rester constamment auprès d'elle et de veiller au respect du traitement prescrit, alors qu'il savait que C______ était hors d'état de se protéger seul et qu'il connaissait les risques liés à une interruption de la médication, de sorte qu'il a exposé ladite victime à un danger concret, grave et imminent pour sa santé, alors même que celle-ci le tenait pour un ami et qu'il avait obtenu la confiance de sa famille – famille qu'il a encore laissée dans l'inquiétude à son retour, coupant tout contact après avoir annoncé qu'il avait laissé C______ seul sur place – L'appelant s'en est en outre pris sans vergogne au patrimoine de E______ et de la Commune ______, faisant appel à leur générosité et à leur fibre solidaire. L'imagination dont il a fait preuve dans ce contexte, concevant une organisation non gouvernementale fictive à laquelle il a donné une apparence de réalité par différents biais, tels que la création d'un siège social, la rédaction de statuts et de procès-verbaux, la mise en ligne d'un site internet relativement élaboré et même une soirée de gala, en disent long sur sa détermination. A cet égard, le fait que les sommes en jeu étaient relativement faibles, de son point de vue, n'est pas un élément si favorable, car il souligne aussi la disproportion entre les moyens sophistiqués mis en œuvre et l'intensité de l'intention délictuelle d'une part, le but recherché d'autre part. Par ailleurs, en ce qui concerne E______, en congé sans solde, la somme de CHF 10'000.- n'était pas négligeable. A ces éléments vient s'ajouter l'atteinte à la confiance accordée par la société dans les écrits ayant une portée juridique, soit un bien collectif. Les mobiles relèvent de l'égoïsme, de l'appât du gain et d'un sentiment de toute puissance. La collaboration à la procédure a été nulle, l'appelant allant jusqu'à briller par son absence devant les juges du fond, absence qui n'est évocatrice d'aucune volonté d'assumer les conséquences de ses agissements. Au contraire, il n'y a pas la moindre prise de conscience. L'appelant a nié la commission de toute infraction jusqu'au TF, égratignant au passage les victimes ou autres protagonistes. En particulier, après avoir soutenu tout au long de l'instruction que la somme remise par E______</w:t>
      </w:r>
    </w:p>
    <w:p>
      <w:r>
        <w:t>- 14/19 - P/6885/2013 constituait une donation, il a pris le parti de soutenir qu'il s'agissait d'un "cas d'école de dupe excessivement naïve qui ne saurait mériter la protection du droit pénal", ne faisant preuve d'aucune empathie à l'égard de celle qui lui avait fait confiance. Le vague regret exprimé devant le MP, qui l'interpellait expressément, en ce qui concerne C______ parait purement circonstanciel. La situation personnelle de l'appelant qui, sans être confortable, n’était pas précaire, celui-ci ayant été mis au bénéfice d'un titre de séjour ainsi que de prestations d'aide sociale par le passé, ne justifiait assurément pas la commission des faits incriminés. Les antécédents de l'intéressé sont mauvais, étant nombreux et, pour l'essentiel, spécifiques. Il y a concours d'infractions, entrainant toutes les trois la même sanction. Eu égard au bien juridique en cause, il faut considérer que la plus grave est l'exposition. Si l'escroquerie et le faux dans les titres doivent faire l'objet d'une peine d'ensemble avec celle prononcée le 17 avril 2014, les faits commis à l'encontre de C______ constituent une récidive, étant souligné qu'ils ont été commis alors que l'appelant était dans l'attente de l'arrêt de la CPAR du 17 avril 2014, ce qui est une démonstration supplémentaire de sa désinvolture face aux normes et interdits de notre ordre juridique. De surcroit, il y a une diversification inquiétante des comportements illicites, l'appelant ne s'en étant précédemment pris qu'au patrimoine d'autrui. Compte tenu de l'ensemble de ces éléments, il conviendrait d'arrêter la peine privative de liberté d'ensemble à trois ans et dix mois, soit, en définitive, la même peine que celle précédemment prononcée. Toutefois, afin de concrétiser l'acquittement du chef d'infraction d'abus de confiance découlant du concours imparfait avec l'infraction – retenue – d'escroquerie, dite peine sera réduite de deux mois.</w:t>
      </w:r>
    </w:p>
    <w:p>
      <w:r>
        <w:rPr>
          <w:b/>
        </w:rPr>
        <w:t>E. 4</w:t>
      </w:r>
    </w:p>
    <w:p>
      <w:r>
        <w:t>Vu l'acquittement partiel prononcé, la question d'une indemnisation de l'appelant en application de l'art. 429 CPP pourrait se poser. Celui-ci n'a cependant subi aucun préjudice qui puisse être attribué exclusivement à la poursuite des infractions d'obtention frauduleuse d'une constatation fausse et d'abus de confiance, ce que l'intéressé reconnait d'ailleurs implicitement, en s'en rapportant à justice.</w:t>
      </w:r>
    </w:p>
    <w:p>
      <w:r>
        <w:rPr>
          <w:b/>
        </w:rPr>
        <w:t>E. 5</w:t>
      </w:r>
    </w:p>
    <w:p>
      <w:r>
        <w:t>L'appelant n'obtient que très partiellement gain de cause, sur l'ensemble de la procédure. Deux chefs d'accusations ont été abandonnés, mais pour l'un d'eux, la qualification pénale des faits demeure et le verdict de culpabilité est en tout état lourd. En appel, la peine est réduite, mais dans une mesure bien inférieure à celle réclamée. Aussi se justifie-t-il de mettre à la charge du condamné 80% des frais de la</w:t>
      </w:r>
    </w:p>
    <w:p>
      <w:r>
        <w:t>- 15/19 - P/6885/2013 totalité de la procédure (art. 428 al. 1 et 3 CPP), ceux consécutifs aux seconds débats d'appel comprenant un émolument de CHF 1'000.- (art. 14 al. 1 let. e du règlement fixant le tarif des frais en matière pénale du 22 décembre 2010 [RTFMP ; RS-GE E 4 10.03]).</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rPr>
          <w:b/>
        </w:rPr>
        <w:t>E. 6.2</w:t>
      </w:r>
    </w:p>
    <w:p>
      <w:r>
        <w:t>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65.- pour un avocat stagiaire (let. a), de CHF 125.- pour un collaborateur (let. b) et de CHF 200.- pour un chef d'étude (let. c), débours de l'étude inclus.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La TVA est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au-delà, pratique que le TF a admise sur le principe (arrêt 6B_838/2015 du 25 juillet 2016 consid. 3.5.2 ; voir aussi la décision de la Cour des plaintes du Tribunal pénal fédéral BB.2015.85 du 12 avril 2016 consid. 3.5.2 et 3.5.3).</w:t>
      </w:r>
    </w:p>
    <w:p>
      <w:r>
        <w:t>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(art. 16 al. 2 RAJ ; arrêt du Tribunal fédéral 6B_810/2010 du 25 mai 2011 consid. 2 et les références citées). Si, comme à Genève, la réglementation prévoit un tarif réduit,</w:t>
      </w:r>
    </w:p>
    <w:p>
      <w:r>
        <w:t>- 16/19 - P/6885/2013 celui-ci s'applique sans égard à l'issue du procès (ATF 139 IV 261 consid. 2 p. 261 ss). Les autorités cantonales jouissent d'une importante marge d'appréciation lorsqu'elles fixent, dans la procédure, la rémunération du défenseur d'office (ATF 141 I 124 consid. 3.2 p. 126 s. ; arrêt du Tribunal fédéral 6B_986/2015 du 23 août 2016 consid. 5.2 et les références ; 6B_675/2015 du 2 mars 2016 consid. 3.1 ; 6B_856/2014 du 10 juillet 2015 consid. 2.3 et les références citées). Conformément au principe d'économie de procédure (décision de la Cour des plaintes du Tribunal pénal fédéral BB.2013.22 du 31 octobre 2013 consid. 5.2.3), le temps consacré à la procédure ne doit être pris en considération que dans la mesure où il apparaît raisonnablement nécessaire à l'accomplissement de son mandant par un avocat expérimenté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rPr>
          <w:b/>
        </w:rPr>
        <w:t>E. 6.3</w:t>
      </w:r>
    </w:p>
    <w:p>
      <w:r>
        <w:t>En l'occurrence, l'arrêt du TF fixait très clairement le cadre des débats sur renvoi du dossier à l'autorité cantonale. Les faits fondant la culpabilité de l'appelant, et partant sa faute, étaient identifiés, de même que les autres circonstances pertinentes. Ne restait plus qu'à déterminer quelles conséquences en tirer, au plan de la peine. A cela s'ajoute que le défenseur d'office de l'appelant connaissait bien le dossier, pour l'avoir défendu depuis le mois de mai 2013. Dans de telles circonstances, l'activité attendue d'un avocat censé être expéditif et efficace, dans le respect du principe d'économie, ne saurait dépasser deux heures et trente minutes, auxquelles il convient d'ajouter la durée de l'audience. Il sera donc alloué au défenseur d'office de l'appelant, chef d'étude, une indemnité de CHF 712.80 pour trois heures (arrondi) d'activité, plus le forfait au taux de 10% (CHF 60.-) et la TVA (CHF 52.80).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