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AARP/340/2019 vom 3. Oktober 2019</w:t>
      </w:r>
    </w:p>
    <w:p>
      <w:r>
        <w:t>GE Cour de justice, 2019-10-03, FR</w:t>
      </w:r>
    </w:p>
    <w:p>
      <w:r>
        <w:rPr>
          <w:b/>
        </w:rPr>
        <w:t xml:space="preserve">Quelle: </w:t>
      </w:r>
      <w:r>
        <w:t>https://mcp.opencaselaw.ch/entscheid/ge_gerichte_AARP_340_2019</w:t>
      </w:r>
    </w:p>
    <w:p>
      <w:r>
        <w:t>FR: GE_GERICHTE AARP/340/2019 du 3 octobre 2019</w:t>
      </w:r>
    </w:p>
    <w:p>
      <w:r>
        <w:t>IT: GE_GERICHTE AARP/340/2019 del 3 ottobre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w:t>
      </w:r>
    </w:p>
    <w:p>
      <w:r>
        <w:t>- 9/20 - P/5442/2019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6B_324/2017 du 8 mars 2018 consid. 1.1 ; 6B_1183/2016 du 24 août 2017 consid. 1.1 ; 6B_445/2016 du 5 juillet 2017 consid. 5.1).</w:t>
      </w:r>
    </w:p>
    <w:p>
      <w:r>
        <w:t>2.1.2. L'art. 19 al. 1 let. c et d LStup punit d'une peine privative de liberté de trois ans au plus ou d'une peine pécuniaire, notamment celui qui, sans droit, aliène ou prescrit des stupéfiants, en procure de toute autre manière à un tiers ou en met dans le commerce (let. c) et celui qui, sans droit, possède, détient ou acquiert des stupéfiants ou s'en procure de toute autre manière (let. d).</w:t>
      </w:r>
    </w:p>
    <w:p>
      <w:r>
        <w:t>2.1.3. Selon l'art. 291 CP, celui qui aura contrevenu à une décision d'expulsion du territoire de la Confédération ou d'un canton prononcée par une autorité compétente sera puni d'une peine privative de liberté de trois ans au plus ou d'une peine pécuniaire.</w:t>
      </w:r>
    </w:p>
    <w:p>
      <w:r>
        <w:t>La rupture de ban est consommée dans deux hypothèses : lorsque l'auteur reste en Suisse après l'entrée en force de la décision d'expulsion alors qu'il a l'obligation de partir et d'autre part lorsqu'il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2e éd., Bâle 2017, n. 11 et 12 ad art. 291 et références citées).</w:t>
      </w:r>
    </w:p>
    <w:p>
      <w:r>
        <w:t>2.1.4. Aux termes de l'art. 13 al. 1 CP, quiconque agit sous l'influence d'une appréciation erronée des faits est jugé d'après cette appréciation si elle lui est</w:t>
      </w:r>
    </w:p>
    <w:p>
      <w:r>
        <w:t>- 10/20 - P/5442/2019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w:t>
      </w:r>
    </w:p>
    <w:p>
      <w:r>
        <w:rPr>
          <w:b/>
        </w:rPr>
        <w:t>E. 2.2</w:t>
      </w:r>
    </w:p>
    <w:p>
      <w:r>
        <w:t>En l'espèce, pour ce qui est de l'infraction à la LStup, il est établi et non contesté que l'appelant a vendu une boulette de cocaïne de 0.8 gr à un toxicomane le 11 mars 2019. Demeure litigieuse la vente à ce dernier d'une dizaine de grammes de cocaïne durant les semaines ayant précédé la transaction précitée. L'appelant affirme qu'il ne le connaissait pas et ne lui avait jamais vendu de drogue auparavant. Entendu par la police et le MP, le toxicomane a formellement reconnu l'appelant comme étant l'un de ses fournisseurs. Il le connaissait depuis un ou deux ans et lui avait déjà acheté de la cocaïne par le passé, allant jusqu'à préciser qu'il s'était plaint de la qualité de la drogue auprès de lui, laquelle était devenue bien meilleure à la suite de cette discussion. Ce toxicomane a encore indiqué avoir acheté à l'appelant une quantité d'environ 10 gr durant les 4 à 6 semaines ayant précédé leur interpellation. Ces déclarations doivent être considérées comme fiables, celui-ci n'ayant aucune raison de ne pas dire la vérité dès lors qu'il a été interpellé alors qu'il se fournissait en cocaïne auprès de l'appelant, qu'il n'a pas de relation particulière avec lui et que, de surcroît, les déclarations précitées l'incriminent lui-même. Les corrections apportées lors de l'audience de confrontation s'agissant des quantités achetées et de la période durant laquelle il a effectué les transactions ne sauraient remettre en cause cette crédibilité. La période évoquée de quatre à six semaine est en effet compatible avec le dernier renvoi de l'appelant en Italie, dont il avait par ailleurs parlé au toxicomane environ un mois avant la transaction du 11 mars 2019. Il est relevé que l'appelant a lui-même varié dans ses explications, notamment s'agissant du montant lui ayant été remis par le toxicomane, lequel est passé de CHF 70.- pour l'achat d'une boulette à CHF 160.- pour l'achat de deux boulettes, uniquement alors qu'il était confronté aux déclarations de ce dernier à ce sujet. La présence du raccordement du toxicomane dans le téléphone portable de l'appelant renforce ces charges, puisqu'elle confirme les affirmations du premier. Par conséquent, la CPAR retiendra que l'appelant a détenu puis vendu à son client une quantité de 10 gr de cocaïne à tout le moins, durant une période de plusieurs semaines avant son interpellation, ainsi qu'une boulette de cocaïne de 0.8 gr à ce même client le 11 mars 2019. Sa condamnation du chef de délit à la LStup (art. 19 al. 1 let. c et d LStup) sera dès lors confirmée. S'agissant de la rupture de ban du 9 décembre 2018, la version des faits de l'appelant, qui s'oppose à celle des gardes-frontières, ne saurait être retenue. Ses explications quant à sa présence à côté de la frontière ne sont pas crédibles. En premier lieu, si la discothèque "K______" existe bien, celle-ci ne se situe pas à proximité du lieu de son interpellation. Ses déclarations quant à sa présence à cet endroit sont difficilement compréhensibles et ne sont pas fiables. L'on peine en effet à comprendre pour quelle raison il se serait déplacé jusqu'à cet endroit pour prendre un café, puis s'y serait promené alors même qu'il ne s'agit pas d'un lieu propice à cela, ce d'autant plus qu'il</w:t>
      </w:r>
    </w:p>
    <w:p>
      <w:r>
        <w:t>- 11/20 - P/5442/2019 savait qu'il n'était pas en droit de pénétrer sur le territoire suisse et qu'il se trouvait alors à la frontière. En outre, l'appelant connaissait les lieux dès lors qu'il avait déjà séjourné à J______. Son argumentation selon laquelle, en raison des travaux en cours à ce poste frontière et de l'absence de tout bâtiment officiel venant délimiter les deux territoires, s'il était venu à traverser la frontière, cela aurait été par inadvertance et non de par sa propre volonté, ne saurait ainsi être considérée comme crédible, une erreur sur les faits au sens de l'art. 13 CP ne pouvant ainsi pas être retenue. De surcroît, son interpellation le 11 mars 2019 à Genève alors qu'il effectuait une transaction portant sur de la cocaïne démontre au contraire qu'il n'a jamais hésité à se rendre sur le territoire suisse pour se livrer à son "petit business". Il n'y a pas lieu de remettre en doute le rapport de l'AFD et le témoignage du garde-frontière ayant procédé au contrôle de l'appelant dès lors qu'ils sont constants quant au fait qu'ils ont vu l'appelant alors qu'il venait de Genève et se dirigeait vers la frontière française et qu'ils ont procédé à son contrôle sur territoire suisse. Comme l'a par ailleurs confirmé le garde-frontière devant la Cour, les douaniers suisses ne sont pas autorisés à effectuer des contrôles en France. Partant, la culpabilité de l'appelant s'agissant de la rupture de ban du 9 décembre 2018 sera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En matière de trafic de stupéfiants, il y a lieu de tenir compte, plus spécialement, des circonstances suivantes. Même si la quantité de la drogue ne joue pas un rôle</w:t>
      </w:r>
    </w:p>
    <w:p>
      <w:r>
        <w:t>- 12/20 - P/5442/2019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et les références).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w:t>
      </w:r>
    </w:p>
    <w:p>
      <w:r>
        <w:rPr>
          <w:b/>
        </w:rPr>
        <w:t>E. 3.2</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w:t>
      </w:r>
    </w:p>
    <w:p>
      <w:r>
        <w:t>- 13/20 - P/5442/2019 consid. 2b p. 104 ; arrêts du Tribunal fédéral 6B_688/2014 du 22 décembre 2017 consid. 27.2.1 ;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w:t>
      </w:r>
    </w:p>
    <w:p>
      <w:r>
        <w:rPr>
          <w:b/>
        </w:rPr>
        <w:t>E. 3.3</w:t>
      </w:r>
    </w:p>
    <w:p>
      <w:r>
        <w:t>En l'espèce, la faute de l'appelant est de gravité moyenne. Il a persisté à séjourner, ou à tout le moins à revenir illégalement en Suisse, alors qu'il se savait sous le coup d'une expulsion après sa dernière condamnation pour infraction à la LStup et séjour illégal, ce qu'il a admis devant la police, le MP et le TP. Il aurait manifestement continué à agir de la sorte s'il n'avait pas été arrêté le 11 mars 2019. Il a consommé, détenu et vendu, certes en petites quantités selon le dossier de la présente procédure, de la cocaïne, soit une drogue dite "dure". L'appelant a agi par convenance personnelle, au mépris total des règles en vigueur dans l'ordre juridique suisse et sans considération pour les décisions précédemment rendues à son encontre par les autorités. Il y a concours d'infractions entre la rupture de ban et l'infraction à l'art. 19 al. 1 (let. c et d) LStup. La collaboration de l'appelant a été médiocre. S'il a certes admis la rupture de ban et la vente de la boulette de cocaïne du 11 mars 2019, il ne pouvait en réalité difficilement agir autrement compte tenu des circonstances de son interpellation. Au contraire, il a persisté à nier avoir vendu 10 gr de cocaïne à son client et avoir pénétré sur le territoire suisse le 9 décembre 2018, fournissant des explications fantaisistes à cet égard. Sa prise de conscience est inexistante, dès lors qu'il persiste dans ses comportements illégaux en dépit des très nombreuses condamnations prononcées antérieurement pour des infractions similaires, au nombre de 17 depuis 2009 pour violation de la LEtr (LEI) et de neuf pour infractions à la LStup (délits et contraventions). Les 16 peines privatives de liberté ordonnées à son encontre ne l'ont pas dissuadé de récidiver. Bien que précaire, sa situation personnelle ne saurait justifier ses actes, celle-ci résultant en grande partie de son refus de quitter un pays où il séjourne illégalement et n'a aucune perspective de vie dans des conditions régulières. Ses antécédents, nombreux et en bonne partie spécifiques, témoignent de son ancrage dans la délinquance, ceux-ci s'étendant sur plus de neuf années.</w:t>
      </w:r>
    </w:p>
    <w:p>
      <w:r>
        <w:t>- 14/20 - P/5442/2019 Au vu de la répétition des infractions de l'appelant, démontrant une sérieuse imperméabilité à la sanction pénale, et de sa situation personnelle précaire, le pronostic est incontestablement négatif et le prononcé d'une peine ferme se justifie. L'infraction à la LStup devrait être sanctionnée par une peine privative de liberté de huit mois, tandis que la rupture de ban devrait l'être d'une peine privative de liberté de six mois. Il y a concours entre ces deux infractions, ce qui commande une augmentation de la peine fixée pour la plus grave d'entre elles dans une juste proportion. Dans la mesure où elles sont abstraitement de même gravité, la peine privative de liberté sera portée à un an, quotité qui apparaît proportionnelle, adéquate et plus apte à amorcer la prise de conscience tant attendue chez ce dernier et à le détourner de la récidive, ce d'autant que la dernière peine privative de liberté de cinq mois prononcée le 2 juillet 2018 est manifestement restée sans effet sur lui. Le jugement sera dès lors confirmé sur ce point également.</w:t>
      </w:r>
    </w:p>
    <w:p>
      <w:r>
        <w:rPr>
          <w:b/>
        </w:rPr>
        <w:t>E. 4</w:t>
      </w:r>
    </w:p>
    <w:p>
      <w:r>
        <w:t>4.1.1. Selon l'art. 442 al. 4 CPP, les autorités pénales peuvent compenser les créances portant sur des frais de procédure avec des valeurs séquestrées, notamment. 4.1.2. Selon l'art. 267 al. 3 CPP, la restitution à l'ayant droit des valeurs patrimoniales séquestrées ou leur utilisation pour couvrir les frais sont fixées dans la décision finale. Les valeurs patrimoniales appartenant au prévenu peuvent être mises sous séquestre notamment lorsqu'il est probable qu'elles seront utilisées pour garantir le paiement des frais de procédure, des peines pécuniaires, des amendes et des indemnités (art. 263 al. 1 let. b CPP). Il s'agit alors d'un séquestre en couverture des frais (art. 268 CPP). La mesure peut s'étendre à l'ensemble des biens du prévenu, y compris ceux qui sont sans relation avec l'infraction commise et qui sont d'origine licite (G. PIQUEREZ / A. MACALUSO, Procédure pénale suisse : Manuel, 3e éd., Zurich 2011, n. 1357 et n. 1407). Selon la systématique du CPP, seul le séquestre en couverture des frais impose de prendre en compte le revenu et la fortune du prévenu, ainsi que d'exclure du séquestre les valeurs insaisissables selon les art. 92 à 94 de la loi fédérale du 11 avril 1889 sur la poursuite pour dettes et la faillite (LP ; RS 821.1 ; art. 268 al. 2 et 3 CPP). Un tel examen s'impose car cette mesure tend exclusivement à la sauvegarde des intérêts publics (ATF 119 Ia 453 consid. 4d ; arrêt du Tribunal fédéral 1B_274/2012 du 11 juillet 2012 consid. 3). Il se justifie donc, sous l'angle du principe de la proportionnalité (art. 197 al. 1 let. c et d CPP), de respecter le minimum vital de la personne touchée par ce type de séquestre (arrêts du Tribunal fédéral 1B_136/2014 du 14 mai 2014 consid. 2.1 ; 1P.21/2007 du 2 mai 2007 consid. 4). Cette obligation est aussi la conséquence du droit fondamental à des conditions minimales d'existence ancré à l'art. 12 Constitution fédérale de la Confédération suisse du 18 avril 1999 (Cst. - RS 101), lequel garantit la couverture des besoins élémentaires pour survivre d'une manière conforme aux exigences de la</w:t>
      </w:r>
    </w:p>
    <w:p>
      <w:r>
        <w:t>- 15/20 - P/5442/2019 dignité humaine, tels que la nourriture, le logement, l'habillement et les soins médicaux de base (ATF 139 I 272 consid. 3.2 ; ATF 141 IV 360 consid. 3.1).</w:t>
      </w:r>
    </w:p>
    <w:p>
      <w:r>
        <w:rPr>
          <w:b/>
        </w:rPr>
        <w:t>E. 4.2</w:t>
      </w:r>
    </w:p>
    <w:p>
      <w:r>
        <w:t>En l'espèce, le TP semble avoir considéré que l'origine délictueuse des sommes saisies en main de l'appelant lors de son interpellation n'avait pas été établie. Leur confiscation ne pouvant par conséquent pas intervenir en application de l'art. 70 CP, il en a ordonné l'affectation au paiement des frais de procédure, sous déduction des sommes restituées à titre humanitaire. De la sorte le juge de première instance a admis que cet argent devait permettre à l'appelant de subvenir à ses besoins, soit assurer son minimum vital. Par suite, son affectation au paiement des frais de la procédure ne peut pas intervenir. Le jugement attaqué sera réformé sur ce point.</w:t>
      </w:r>
    </w:p>
    <w:p>
      <w:r>
        <w:rPr>
          <w:b/>
        </w:rPr>
        <w:t>E. 5.1</w:t>
      </w:r>
    </w:p>
    <w:p>
      <w:r>
        <w:t>L'appelant, qui succombe, supportera les frais de la procédure envers l'État (art. 428 CPP).</w:t>
      </w:r>
    </w:p>
    <w:p>
      <w:r>
        <w:rPr>
          <w:b/>
        </w:rPr>
        <w:t>E. 5.2</w:t>
      </w:r>
    </w:p>
    <w:p>
      <w:r>
        <w:t>Les frais arrêtés en première instance seront confirmés (art. 428 CPP), la restitution des sommes saisies étant sans conséquence à cet égard, puisque cet élément du dossier n'a induit aucun acte d'instruction particulier.</w:t>
      </w:r>
    </w:p>
    <w:p>
      <w:r>
        <w:rPr>
          <w:b/>
        </w:rPr>
        <w:t>E. 6</w:t>
      </w:r>
    </w:p>
    <w:p>
      <w:r>
        <w:t>Par identité de motifs, l'appelant ne saurait prétendre à une quelconque indemnité fondée sur l'art. 429 CPP.</w:t>
      </w:r>
    </w:p>
    <w:p>
      <w:r>
        <w:rPr>
          <w:b/>
        </w:rPr>
        <w:t>E. 7.1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w:t>
      </w:r>
    </w:p>
    <w:p>
      <w:r>
        <w:t>- 16/20 - P/5442/2019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7.4</w:t>
      </w:r>
    </w:p>
    <w:p>
      <w:r>
        <w:t>En l'occurrence Me C______ produit un état de frais détaillé comprenant 4 heures et 30 minutes de conférences avec le client à B______ et 5 heures et 35 minutes d'étude du dossier et de préparation d'audience, hors débats d’appel, lesquels ont duré une heure et 40 minutes L'état de frais ainsi déposé apparaît excessif au regard de la nature et de la complexité de la cause.</w:t>
      </w:r>
    </w:p>
    <w:p>
      <w:r>
        <w:t>A ce stade de la procédure, le conseil de l'appelant devait en effet connaître et maîtriser parfaitement le dossier, étant intervenu en première instance déjà. Les griefs soulevés par l'appelant dans sa déclaration d'appel et dans son mémoire d'appel ne posent de surcroît pas de problème juridique particulier.</w:t>
      </w:r>
    </w:p>
    <w:p>
      <w:r>
        <w:t>Ainsi, le temps d'entretien avec le client sera réduit à trois heures d'activité de chef d'étude et le temps consacré à l'examen du dossier et à la préparation de l'audience d'appel à quatre heures d'activité de chef d'étude.</w:t>
      </w:r>
    </w:p>
    <w:p>
      <w:r>
        <w:t>Les frais de déplacement au et du Palais de justice à CHF 100.- seront indemnisés, conformément à la jurisprudence en la matière.</w:t>
      </w:r>
    </w:p>
    <w:p>
      <w:r>
        <w:t>Me C______ a par ailleurs effectué moins de 30 heures de travail en faveur de A______ depuis l'ouverture de la procédure, procédure d'appel y compris.</w:t>
      </w:r>
    </w:p>
    <w:p>
      <w:r>
        <w:t>- 17/20 - P/5442/2019</w:t>
      </w:r>
    </w:p>
    <w:p>
      <w:r>
        <w:t>En conclusion, l'indemnité sera arrêtée à CHF 2'340.15 correspondant à 8 heures et 40 minutes d'activité au tarif de CHF 200.-/heure (CHF 1'733.35) plus la majoration forfaitaire de 20% (CHF 346.65) et la TVA au taux de 7.7% (CHF 160.15) ainsi que le déplacement à l'audience d'appel (CHF 100.-). * * * * *</w:t>
      </w:r>
    </w:p>
    <w:p>
      <w:r>
        <w:t>- 18/20 - P/5442/2019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