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AARP/33/2018 vom 2. Februar 2018</w:t>
      </w:r>
    </w:p>
    <w:p>
      <w:r>
        <w:t>GE Cour de justice, 2018-02-02, FR</w:t>
      </w:r>
    </w:p>
    <w:p>
      <w:r>
        <w:rPr>
          <w:b/>
        </w:rPr>
        <w:t xml:space="preserve">Quelle: </w:t>
      </w:r>
      <w:r>
        <w:t>https://mcp.opencaselaw.ch/entscheid/ge_gerichte_AARP_33_2018</w:t>
      </w:r>
    </w:p>
    <w:p>
      <w:r>
        <w:t>FR: GE_GERICHTE AARP/33/2018 du 2 février 2018</w:t>
      </w:r>
    </w:p>
    <w:p>
      <w:r>
        <w:t>IT: GE_GERICHTE AARP/33/2018 del 2 febbraio 2018</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quotité de la peine (let. b) ; les mesures qui ont été ordonnées (let. c).</w:t>
      </w:r>
    </w:p>
    <w:p>
      <w:r>
        <w:t>La Chambre limite son examen aux violations décrites dans l'acte d'appel (art. 404 al. 1 CPP), sauf en cas de décisions illégales ou inéquitables (art. 404 al. 2 CPP).</w:t>
      </w:r>
    </w:p>
    <w:p>
      <w:r>
        <w:rPr>
          <w:b/>
        </w:rPr>
        <w:t>E. 2</w:t>
      </w:r>
    </w:p>
    <w:p>
      <w:r>
        <w:t>Il n’est en l’espèce pas contestable ni contesté que le coup asséné par le prévenu à l’intimé est constitutif de lésions corporelles simples, lesquelles sont punies d’une peine privative de liberté de trois ans au plus ou d’une peine pécuniaire.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w:t>
      </w:r>
    </w:p>
    <w:p>
      <w:r>
        <w:rPr>
          <w:b/>
        </w:rPr>
        <w:t>E. 2.2</w:t>
      </w:r>
    </w:p>
    <w:p>
      <w:r>
        <w:t>En l’espèce, la faute de l’appelant est importante. Il a frappé l’intimé à la tête par surprise, armé d’une selle de vélo, assez violemment pour le faire chuter au sol et lui causer deux plaies sur le front, dont une de 10 cm, et plusieurs hématomes. Selon ses dires, contestés par l’intimé, il a agi ainsi dans le but de réagir à une provocation de ce dernier qui l’aurait menacé en lui montrant un couteau le jour même, et qui l’aurait par ailleurs agressé deux ans plus tôt. Le mobile de l’appelant relève ainsi au mieux du souhait de soulager sa rancœur contre l’intimé. Il invoque vainement dans sa déclaration d’appel les circonstances atténuantes de l’état de nécessité excusable (art. 18 CP) et de l’émotion violente ou du profond désarroi (art. 48 let. c CP). Lors des faits, il ne subissait en effet aucune attaque de l’intimé, qui se trouvait seul sur son vélo et lui tournait le dos, ce qui exclut un état de nécessité. En outre, à supposer que l’intimé l’ait menacé au moyen d’un couteau le même jour et agressé deux ans plus tôt, de tels actes ne sont pas propres à susciter une émotion violente, et encore moins un profond désarroi, pouvant excuser le comportement du prévenu. Sa situation personnelle n’explique au reste en rien ses agissements. La collaboration de l’appelant a été médiocre et sa prise de conscience est très mauvaise. Il a certes reconnu avoir porté un coup de selle à l’intimé, sans toutefois assumer l’illégalité et la dangerosité d’un tel acte, considérant qu’il était légitimé à agir ainsi, au vu des menaces susmentionnées et de ses relations conflictuelles avec l’intimé, dont il a donné une description confuse. Demeurant convaincu d’être la victime en l’occurrence, il n’a pas manifesté de regret ni de compassion à l’égard de la partie plaignante.</w:t>
      </w:r>
    </w:p>
    <w:p>
      <w:r>
        <w:t>- 10/17 - P/21406/2015 L’appelant a des antécédents comprenant des faits de violence, ainsi qu’une condamnation à une peine privative de liberté de six mois durant les cinq ans précédant l’infraction. Cela, cumulé à l’absence de prise de conscience susexaminée, exclut un pronostic favorable, de sorte que les conditions du sursis ne sont pas remplies, aussi bien au regard de l’ancien que du nouveau droit (art. 42 al. 2 CP), ce qui n’est par ailleurs pas contesté. L’appelant ne conteste pas la nature de la peine prononcée à son encontre à juste titre, dans la mesure où une peine pécuniaire n’aurait aucun effet dissuasif compte tenu de son impécuniosité. Son statut exclut également un travail d’intérêt général.</w:t>
      </w:r>
    </w:p>
    <w:p>
      <w:r>
        <w:rPr>
          <w:b/>
        </w:rPr>
        <w:t>E. 2.3</w:t>
      </w:r>
    </w:p>
    <w:p>
      <w:r>
        <w:t>L’infraction de lésions corporelles simples ayant été commise avant la dernière condamnation de l’appelant, de 120 jours de privation de liberté pour dénonciation calomnieuse, la peine doit être prononcée à titre complémentaire. Les lésions corporelles simples commises sont en l’occurrence objectivement plus graves qu’une dénonciation calomnieuse (art. 303 CP), indépendamment de la peine- menace prévue pour cette infraction qui n’est pas plafonnée. La peine privative de liberté prononcée par le premier juge, de 150 jours, est adéquate, dans la mesure où elle tient dûment compte de la culpabilité de l’appelant. Elle aurait été portée à 220 jours si la CPAR avait eu à connaître de l'infraction pour dénonciation calomnieuse. La peine complémentaire, résultant de la différence entre la peine de base (120 jours) et cette peine globale (220 jours), sera fixée à 100 jours. L’appel sera ainsi partiellement admis sur ce plan. 3. 3.1. Selon l’art. 19a ch.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et une réprimande peut être prononcée (art. 19a ch. 2 LStup). Pour dire s'il y a cas bénin, il faut prendre en compte l'ensemble des circonstances concrètes, objectives et subjectives (ATF 124 IV 45 consid. 2a ; 124 IV 186 consid. 3a et ATF 106 IV 78).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et 124 IV 186 consid. 3). Il ne saurait ainsi être question d'un cas bénin quand quelqu'un consomme régulièrement du haschich et n'a pas l'intention de modifier son comportement (ATF 124 IV 55 consid. 2).</w:t>
      </w:r>
    </w:p>
    <w:p>
      <w:r>
        <w:t>- 11/17 - P/21406/2015 3.2. En l’espèce, la consommation régulière de marijuana a toujours été admise par l’appelant, lequel n’a jamais indiqué qu’il entendait y mettre fin, ce qui suffit à exclure le cas bénin. Les griefs de l’appelant concernant une instruction insuffisante de la cause tombent ainsi à faux, n’étant en particulier pas nécessaire de connaître avec exactitude la fréquence et l’ampleur de la consommation ni la provenance des stupéfiants. L’amende de CHF 100.-, dont la quotité n’est pas remise en cause, est au surplus conforme au droit et apparaît même clémente au vu de la durée de la période pénale et des antécédents de l’appelant en matière de consommation de stupéfiants. Il en va de même de la peine privative de liberté de substitution fixée à un jour. L’appel sera en conséquence rejeté sur ce point. 4. 4.1. Selon l’art. 66abis CP, entré en vigueur le 1er octobre 2016, le juge peut expulser un étranger du territoire suisse pour une durée de trois à quinze ans si, pour un crime ou un délit non visé à l’art. 66a CP, celui-ci a été condamné à une peine ou a fait l’objet d’une mesure. S'agissant d'une mesure prévue par la loi qui, par essence, s'ajoute à la peine proprement dite, elle fait partie intégrante de la sanction à prononcer (ATF 143 IV 168 consid. 3.2). L'art. 66abis CP est une Kann-Vorschrift (G. MÜNCH / F. DE WECK, Die neue Landesverweisung in Art. 66a ff. StGB, Revue de l'avocat 2016, p. 165 ; G. FIOLKA / L. VETTERLI, Landesverweisung nach Art. 66a StGB als strafrechtliche Sanktion, in Plaidoyer 5/2016, p. 86). Le juge est donc libre, sans autre justification, de renoncer à l'expulsion facultative (M. BUSSLINGER / P. UEBERSAX, Härtefallklausel und migrationsrechtliche Auswirkungen der Landesverweisung, in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in Jusletter du 28 novembre 2016, p. 14). Concernant le premier volet, le juge considérera pour commencer la quotité de la peine : plus lourde sera celle-ci et plus grand sera l'intérêt public à expulser l'étranger (M. BUSSLINGER / P. UEBERSAX, op. cit., p. 103). Ce résultat sera renforcé par le type d'infraction commise : si celle-ci atteint la vie,</w:t>
      </w:r>
    </w:p>
    <w:p>
      <w:r>
        <w:t>- 12/17 - P/21406/2015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op. cit., p. 166).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(ATF 123 IV 107 consid. 3 et les références citées). 4.2. En l’espèce, l’appelant vit en Suisse depuis fin 2010, sans cependant avoir obtenu l’asile ni d’autorisation de séjour. Il a même été interdit d’entrée sur le territoire du 12 novembre 2012 au 11 novembre 2017, décision à laquelle il ne s’est pas conformé. Il n’a exercé tout au plus que quelques emplois temporaires et a passé environ une année et demie en détention ensuite de plusieurs condamnations. Il ne résulte du dossier aucune trace d’intégration de l’appelant ni d’attache particulière en Suisse, comme de la famille ou une activité professionnelle fixe. Le prévenu y a au contraire rencontré un certain nombre de problèmes, ayant selon ses dires notamment été agressé et insulté plusieurs fois par l’intimé. Il a même émis en première instance le souhait de rentrer chez lui ou de se rendre dans un autre pays. Il s’oppose à son expulsion au seul motif qu’il aurait besoin de soins psychologiques, sans expliquer ni étayer la nature de son trouble et encore moins l’impossibilité de le traiter dans son pays d’origine. L’appelant a par ailleurs de la famille en Tunisie. L’infraction de lésions corporelles simples faisant l’objet de la présente procédure est d’une certaine gravité, l’appelant ayant violemment attenté à l’intégrité de la partie plaignante, sans autre raison que la colère ou la vengeance. Le pronostic est défavorable. L’appelant n’a en effet jamais respecté les décisions administratives prises à son encontre et s’est rendu coupable de plusieurs infractions en dehors de celles à la LEtr durant son séjour en Suisse, en lien avec d’autres faits</w:t>
      </w:r>
    </w:p>
    <w:p>
      <w:r>
        <w:t>- 13/17 - P/21406/2015 de violence, une dénonciation calomnieuse, des dommages à la propriété et de la consommation de stupéfiants. Il n’a en outre manifesté aucun regret en relation avec les faits jugés en l’espèce, en se présentant au contraire comme étant la victime. Au vu de ce qui précède, l’appel joint du Ministère public sera admis et l’expulsion de l’appelant ordonnée pour une durée de cinq ans. 5. L'appel joint ayant été admis et l’appelant n’obtenant partiellement gain de cause que par l’effet du prononcé d’une peine complémentaire, due à une nouvelle condamnation intervenue entre-temps, il supportera les frais de la procédure envers l'État, comprenant un émolument de CHF 1'500.- (art. 428 CPP).</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6.1.2.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débours de l'étude inclus, pour un chef d’étude (let. b ; cf. décision de la Cour des plaintes du Tribunal pénal fédéral BB.2013.127 du 4 décembre 2013 consid. 3, 4.2 et 4.4).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continue de l'avocat breveté (AARP/147/2016 du 17 mars 2016 consid. 7.3 ; AARP/302/2013 du 14 juin 2013 ; AARP/267/2013 du 7 juin 2013).</w:t>
      </w:r>
    </w:p>
    <w:p>
      <w:r>
        <w:t>- 14/17 - P/21406/2015 6.1.3.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6.2</w:t>
      </w:r>
    </w:p>
    <w:p>
      <w:r>
        <w:t>En l’espèce, de l’état de frais de Me B______ sont retenues 2h00 d’entretien avec le client, durée suffisante pour discuter de l’opportunité d’un appel en tenant compte du fait qu’elle comprend une visite du prévenu en prison alors qu’il était détenu pour une autre cause. Pour ce qui est du temps nécessaire à la préparation aux débats, il doit être limité à 2h00 au vu de ce que Me B______ était déjà constitué en première instance, que la cause ne comportait pas de difficulté particulière en appel, portant seulement sur la peine et l’expulsion, et que le défenseur d’office n’a pas développé d’argumentaire relativement à ladite expulsion, ni aux circonstances atténuantes invoquées dans la déclarations d’appel, ni à la peine complémentaire à prononcer. Les recherches juridiques n’ont au surplus pas à être indemnisées, en particulier dans une affaire faisant appel à des notions de base, et la rédaction de la déclaration d’appel est comprise dans le forfait pour activités diverses. S’ajoute à ce qui précède la présence du défenseur d’office durant les débats de 1h20. L'indemnité due à Me B______ sera ainsi arrêtée à CHF 1'382.40, correspondant à 5h20 d'activité à CHF 200.-/heure (CHF 1'066.65), plus la majoration forfaitaire de 20% (CHF 213.35) ainsi que la TVA de 8% (CHF 102.40).</w:t>
      </w:r>
    </w:p>
    <w:p>
      <w:r>
        <w:t>* * * * *</w:t>
      </w:r>
    </w:p>
    <w:p>
      <w:r>
        <w:t>- 15/17 - P/21406/2015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