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AARP/337/2015 vom 30. Juli 2015</w:t>
      </w:r>
    </w:p>
    <w:p>
      <w:r>
        <w:t>GE Cour de justice, 2015-07-30, FR</w:t>
      </w:r>
    </w:p>
    <w:p>
      <w:r>
        <w:rPr>
          <w:b/>
        </w:rPr>
        <w:t xml:space="preserve">Quelle: </w:t>
      </w:r>
      <w:r>
        <w:t>https://mcp.opencaselaw.ch/entscheid/ge_gerichte_AARP_337_2015</w:t>
      </w:r>
    </w:p>
    <w:p>
      <w:r>
        <w:t>FR: GE_GERICHTE AARP/337/2015 du 30 juillet 2015</w:t>
      </w:r>
    </w:p>
    <w:p>
      <w:r>
        <w:t>IT: GE_GERICHTE AARP/337/2015 del 30 luglio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L'art. 115 al. 1 LEtr réprime le comportement de celui qui contrevient aux dispositions sur l'entrée en Suisse prévues à l'art. 5 LEtr (let. a), y séjourne illégalement (let. b) ou y exerce une activité lucrative sans autorisation (let. c).</w:t>
      </w:r>
    </w:p>
    <w:p>
      <w:r>
        <w:t>2.1.2. Selon l’art. 5 al. 1 LEtr, pour entrer en Suisse, tout étranger doit notamment avoir une pièce de légitimation reconnue pour le passage de la frontière, être muni d'un visa si ce dernier est requis (let. a) et disposer des moyens financiers nécessaires à son séjour (let. b), ne représenter aucune menace pour la sécurité et l'ordre publics ni pour les relations internationales de la Suisse (let. c) et ne faire l'objet d'aucune mesure d'éloignement (let. d). 2.2.1. Le séjour illégal au sens de l'art. 115 al. 1 let. b LEtr est un délit de durée, un délit continu. L'infraction est achevée au moment où le séjour prend fin (ATF 135 IV</w:t>
      </w:r>
    </w:p>
    <w:p>
      <w:r>
        <w:rPr>
          <w:b/>
        </w:rPr>
        <w:t>E. 2.3</w:t>
      </w:r>
    </w:p>
    <w:p>
      <w:r>
        <w:t>La Directive du Parlement européen et du Conseil du 16 décembre 2008 relative aux normes et procédures communes applicables dans les États membres au retour des ressortissants de pays tiers en séjour irrégulier (Directive sur le retour 2008/115/CE), intégrée au droit suisse par l'arrêté fédéral du 18 juin 2010 (RO 2010 5925) et la jurisprudence de la Cour de justice de l'union européenne y relative (ci- après : la CJUE, arrêt du 28 avril 2011 C-61/11 PPU EL DRIDI), posent le principe selon lequel une peine d'emprisonnement pour séjour illégal ne peut être prononcée que si la procédure administrative de renvoi a été menée à son terme sans succès et que le ressortissant étranger demeure sur le territoire sans motif justifié de non- retour. La Cour de justice de l'Union européenne a toutefois précisé que les ressortissants de pays tiers ayant, outre le délit de séjour irrégulier, commis un ou plusieurs autres délits, pouvaient le cas échéant, en vertu de l'art. 2, paragraphe 2, sous b, de la directive sur le retour, être soustraits au champ d'application de la directive (arrêt du 6 décembre 2011 C-329/11 Achughbabian, ch. 41). Suivant la jurisprudence européenne, il y a donc lieu d'admettre que la Directive sur le retour n'est pas applicable aux ressortissants des pays tiers qui ont commis, outre le séjour irrégulier, un ou plusieurs autres délits (art. 2 al. 2 let. b de la Directive sur le retour) en dehors du droit pénal sur les étrangers (A. ZÜND, Migrationsrecht, 3e</w:t>
      </w:r>
    </w:p>
    <w:p>
      <w:r>
        <w:t>- 7/15 - P/13830/2014 éd. 2012, n. 12 ad art. 115 LEtr ; T. HUGI YAR, Das Urteil El Dridi, die EU- Rückkührungsrichtlinie und der Schengen-Besitzstand, Jusletter du 11 juillet 2011, note 11 ; arrêt du Tribunal fédéral 6B_320/2013 du 29 août 2013 consid. 3.2.).</w:t>
      </w:r>
    </w:p>
    <w:p>
      <w:r>
        <w:t>2.4.1. Dans le cas d'espèce, l'appelant admet avoir pénétré illégalement en Suisse à la fin du mois de mai/début juin 2014, et y avoir séjourné dès ce moment-là jusqu'au 3 juillet, puis du 6 au 17 juillet 2014, sans être au bénéfice des autorisations nécessaires, démuni de papiers d'identité, de domicile fixe et de moyens de subsistance, comportements constitutifs d'infractions à l'art. 115 al. 1 let. a et b LEtr. Ses déclarations selon lesquelles il aurait été contraint de retourner et rester en Suisse par les douanes françaises sont invraisemblables. L'appelant reconnait n'avoir entrepris aucune démarche afin de rejoindre la Côte d'Ivoire et s'y est toujours expressément refusé, alors même qu'il n'existe aucune impossibilité objective de retour dans ce pays. Les démarches alléguées aux fins de se rendre dans d'autres nations d'Afrique sont peu claires et non-documentées. Le rejet de sa demande d'asile et ses quatre précédentes condamnations pour séjour illégal ne l'ont pas conduit à quitter la Suisse, pays dans lequel il a clairement l'intention de rester. Pour le surplus, l'absence de décision de renvoi à son encontre ne saurait constituer un fait justificatif, dans la mesure où l'appelant n'était pas contraint de demeurer en Suisse, étant relevé également que la Directive sur le retour ne s'applique pas, une autre infraction extérieure à la LEtr ayant également été commise. Vu qu'il n'existait, à l'époque considérée, aucun empêchement sérieux, situationnel ou personnel, au retour de l'appelant dans son pays d'origine, les infractions d'entrée et de séjour illégaux qui lui sont reprochées sont bien réalisées et le jugement entrepris doit être confirmé sur ce point.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w:t>
      </w:r>
    </w:p>
    <w:p>
      <w:r>
        <w:t>- 8/15 - P/13830/2014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3.1.2.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3.2.1.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du 14 juin 2011 consid. 3.1).</w:t>
      </w:r>
    </w:p>
    <w:p>
      <w:r>
        <w:t>- 9/15 - P/13830/2014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3.2.2.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3.2.3. L'art. 36 al. 1 CP dispose que, dans la mesure où le condamné ne paie pas la peine pécuniaire et que celle-ci est inexécutable par la voie de la poursuite pour dettes, elle fait place à une peine privative de liberté. La seule perspective que la peine pécuniaire ne puisse être exécutée ne doit cependant pas conduire a priori au prononcé d'une courte peine privative de liberté ferme. Ni la situation économique de l'auteur ni le fait que son insolvabilité est prévisible ne constituent des critères pertinents pour choisir la nature de la sanction (ATF 134 IV 97 consid. 5.2.3 p. 104- 105 ; arrêt du Tribunal fédéral 6B_541/2007 du 13 mai 2008 consid. 5.1). 3.2.4. Le prononcé d'un travail général n'est justifié qu'autant que l'on puisse au moins prévoir que l'intéressé pourra, cas échéant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 constitue pas une sanction adéquate (arrêts du Tribunal fédéral 6B_787/2014 du 27 novembre 2014 consid. 1.3.2 et 6B_262/2012 du 4 octobre 2012 consid. 1.3.2). 3.3. Selon l’art. 52 CP, si la culpabilité de l’auteur et les conséquences de son acte – conditions cumulatives – sont peu importantes, l’autorité compétente renonce à lui</w:t>
      </w:r>
    </w:p>
    <w:p>
      <w:r>
        <w:t>- 10/15 - P/13830/2014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3.4. En cas d'échec de la mise à l'épreuve de la personne libérée conditionnellement, si, en raison de la nouvelle infraction, les conditions d'une peine privative de liberté ferme sont réunies et que celle-ci entre en concours avec une peine privative de liberté suspendue par la mesure, le juge prononce une peine d'ensemble en application de l'art. 49 CP (art. 62a al. 2 et 86 al. 6 CP). 3.5. L'infraction à l'art. 19 al. 1 LStup est passible d'une peine privative de liberté de trois ans au plus ou d'une peine pécuniaire, celles réprimées à l'art. 115 al. 1 LEtr d'une peine privative de liberté d'un an au plus ou d'une peine pécuniaire. 3.6. En l’espèce, la faute de l’appelant n'est pas négligeable. Si la période pénale est certes courte, sa faute n'est pas anodine, dans la mesure où il s'évertue à revenir et séjourner en Suisse malgré ses précédentes condamnations pour séjour illégal, faisant ainsi totalement fi des lois en vigueur. Sa faute est de gravité moyenne s'agissant de l'infraction à LStup, eu égard au fait qu'il n'est question que de détention d'une faible quantité de cocaïne et au dossier qui ne permet pas de déterminer le rôle éventuel de l'appelant dans un trafic de stupéfiants. Cette faute suffit néanmoins à exclure l'exemption de peine sollicitée. La situation personnelle précaire de l'appelant n'est pas un facteur à décharge, dans la mesure où elle est la conséquence de son refus de quitter un pays où il séjourne illégalement. Ses antécédents judiciaires sont mauvais. Il a été condamné à quatre reprises sur une période de deux ans, uniquement pour des infractions à la législation en matière de séjour des étrangers. Aucune de ces décisions ne l’a dissuadé de récidiver, de surcroît dans le délai d'épreuve d'un an fixé lors de l'octroi de sa récente libération conditionnelle. Sa collaboration à la procédure est sans particularité. S'il a immédiatement reconnu les faits qui lui étaient reprochés, il pouvait difficilement contester les charges, ayant été interpellé sur le territoire suisse où il séjournait sans droit et crachant la drogue dissimulée dans sa bouche sous les yeux des forces de l'ordre. Aucune des circonstances atténuantes prévues par l'art. 48 CP n'est réalisée, ni d’ailleurs plaidée.</w:t>
      </w:r>
    </w:p>
    <w:p>
      <w:r>
        <w:t>- 11/15 - P/13830/2014 Il y a concours d'infractions. Vu la répétition de délits de même genre, à laquelle s'ajoutent l'infraction à la LStup et le refus explicite de l'appelant de retourner dans son pays, sans pour autant que des démarches visant à régulariser sa situation n'aient été entreprises, le pronostic ne peut qu'être défavorable, l'absence d'attaches documentées de l'appelant en Suisse ne permettant au surplus pas d'infirmer ce point de vue. A cela s’ajoute une situation précaire qui augmente encore le risque de commission de nouvelles infractions. Par conséquent, seule une peine ferme pouvait être prononcée. Au vu de la situation administrative de l'appelant en Suisse, de l'absence de toute possibilité de gain licite, et du nombre de peines privatives de liberté fermes qu'il a purgé sans effet dissuasif, tant le travail d'intérêt général que la peine pécuniaire sont exclus, de sorte qu'il doit être condamné à une peine privative de liberté. C’est donc à bon droit que le premier juge l'a condamné à une courte peine privative de liberté ferme, étant rappelé qu'aucune question spécifique ne se pose au regard de la directive sur le retour 2008/115/CE, celle-ci ne trouvant pas application. Au vu des éléments qui précèdent, et eu considéré la révocation de la libération conditionnelle pour un solde d'un mois et 23 jours, laquelle n'a été contestée que dans son principe et dont les conditions paraissent remplies, le premier juge n'a pas mésusé de son pouvoir d'appréciation, ayant même fait preuve d'une relative clémence, en arrêtant la quotité de la peine d'ensemble à trois mois. Le jugement dont est appel sera donc entièrement confirmé. 4. L'appelant, qui succombe, sera condamné aux frais de la procédure d'appel, qui comprennent un émolument de jugement de CHF 1'200.- (art. 428 al. 1 CPP par analogie et 14 al. 1 let. e du Règlement fixant le tarif des frais en matière pénale ; E 4 10.03). 5. 5.1.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Au regard de ce qui précède, la CPAR est compétente, au sens de l'art. 135 al. 2 CPP, pour statuer sur l'activité postérieure à sa saisine, le 7 avril 2015. 5.2.1.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w:t>
      </w:r>
    </w:p>
    <w:p>
      <w:r>
        <w:t>- 12/15 - P/13830/2014 conseils juridiques et défenseurs d'office en matière civile, administrative et pénale du 28 juillet 2010 (RAJ ; E 2 05.04). 5.2.2.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s'est inspirée jusqu'à présent des "Instructions relatives à l'établissement de l'état de frais" et de l'"Etat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l'existence. 5.3. N'est pas considérée comme nécessaire dans l'état de frais présenté par Me B______ l'activité suivante effectuée par elle-même : - une heure consacrée à un entretien avec son assisté ; un seul entretien d'une durée équivalente était suffisant dans le cadre de la procédure d'appel portant essentiellement sur des questions juridiques ; - une heure dédiée à la rédaction du mémoire d'appel, suffisante au regard de son contenu ;</w:t>
      </w:r>
    </w:p>
    <w:p>
      <w:r>
        <w:t>- 13/15 - P/13830/2014 - une heure et 30 minutes consacrées à la consultation du dossier, dans la mesure où l'avocate, nommée pendant la procédure de première instance, le connaissait parfaitement. Par conséquent, l'état de frais de Me B______ sera admis, après les déductions qui précèdent, à concurrence de deux heures d'activité au taux horaire de CHF 200.-, soit de CHF 400.-. L'indemnisation sera dès lors accordée à hauteur de CHF 518.40 (indemnité forfaitaire de 20% [CHF 80.-] et TVA à 8% [CHF 38.40] comprises). * * * * *</w:t>
      </w:r>
    </w:p>
    <w:p>
      <w:r>
        <w:t>- 14/15 - P/13830/2014</w:t>
      </w:r>
    </w:p>
    <w:p>
      <w:r>
        <w:rPr>
          <w:b/>
        </w:rPr>
        <w:t>E. 6</w:t>
      </w:r>
    </w:p>
    <w:p>
      <w:r>
        <w:t>consid. 3.2 p. 9 ; arrêt du Tribunal fédéral 6B_1226/2013 du 31 mars 2014 consid. 1.1).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w:t>
      </w:r>
    </w:p>
    <w:p>
      <w:r>
        <w:rPr>
          <w:b/>
        </w:rPr>
        <w:t>E. 9</w:t>
      </w:r>
    </w:p>
    <w:p>
      <w:r>
        <w:t>; arrêt du Tribunal fédéral 6B_1226/2013 du 31 mars 2014 consid. 1.1). En vertu du principe de la culpabilité sur lequel repose le droit pénal, les peines prononcées dans plusieurs procédures pénales en raison de l'effet de césure ne peuvent dépasser</w:t>
      </w:r>
    </w:p>
    <w:p>
      <w:r>
        <w:t>- 6/15 - P/13830/2014 la peine maximale prévue par la loi pour l'infraction en question (ATF 135 IV 6 consid. 4.2 p. 11 ; arrêt du Tribunal fédéral 6B_1226/2013 du 31 mars 2014 consid. 1.1).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(ibidem). 2.2.2. Le principe de la faute suppose toutefois la liberté d'agir autrement. Ainsi, l'on ne pourra pas reprocher pénalement à un ressortissant étranger séjournant illégalement en Suisse de n'avoir pas quitté le pays s'il se trouvait objectivement dans l'incapacité de le faire et de rentrer dans son pays d'origine, malgré le respect de ses devoirs et obligations envers les autorités de migration (G. D'ADDARIO DI PAOLO / L. VETTERLI, Bundesgesetz über die Ausländerinnen und Ausländer, Bern, 2010, n. 27/28 ad art. 115 LEtr ; arrêts du Tribunal fédéral 6B_320/2013 du 29 août 2013 consid. 2.1 ; 6B_783/2011 du 2 mars 2012 consid. 1.3 ; 6B_482/2010 du 7 octobre 2010 consid. 3.2.2 ; 6B_85/2007 du 3 juillet 2007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