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AARP/336/2025 vom 15. September 2025</w:t>
      </w:r>
    </w:p>
    <w:p>
      <w:r>
        <w:t>GE Cour de justice, 2025-09-15, FR</w:t>
      </w:r>
    </w:p>
    <w:p>
      <w:r>
        <w:rPr>
          <w:b/>
        </w:rPr>
        <w:t xml:space="preserve">Quelle: </w:t>
      </w:r>
      <w:r>
        <w:t>https://mcp.opencaselaw.ch/entscheid/ge_gerichte_AARP_336_2025</w:t>
      </w:r>
    </w:p>
    <w:p>
      <w:r>
        <w:t>FR: GE_GERICHTE AARP/336/2025 du 15 septembre 2025</w:t>
      </w:r>
    </w:p>
    <w:p>
      <w:r>
        <w:t>IT: GE_GERICHTE AARP/336/2025 del 15 settembre 2025</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- 5/11 - P/26035/2023</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t>En tant que règle sur le fardeau de la preuve, la présomption d'innocence signifie, au stade du jugement, que ce fardeau incombe à l'accusation et que le doute doit profiter au prévenu (ATF 127 I 38 consid. 2a;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33 al. 1 let. a LArm punit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2.2.2. Par armes, on entend notamment les engins conçus pour blesser des êtres humains, notamment les matraques simples ou à ressort (art. 4 al. 1 let. d LArm). 2.2.3. Un nunchaku est considéré comme une arme prohibée au sens de l'art. 33 LArm (arrêt du Tribunal fédéral 6B_76/2023 du 4 mai 2023 consid. 1.1). 2.3.1. L'infraction est également réprimée si l'auteur agit par négligence (art. 33 al. 2 LArm). 2.3.2. Agit par négligence quiconque, par une imprévoyance coupable commet un crime ou un délit sans se rendre compte des conséquences de son acte ou sans en tenir compte (art. 12 al. 3 CP). 2.4.1. L'erreur sur l'illicéité (art. 21 CP) vise le cas où l'auteur agit en ayant connaissance de tous les éléments constitutifs de l'infraction, et donc avec intention, mais en croyant par erreur agir de façon licite (ATF 141 IV 336 consid. 2.4.3 ; 129 IV 238 consid. 3.1).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w:t>
      </w:r>
    </w:p>
    <w:p>
      <w:r>
        <w:t>- 6/11 - P/26035/2023 Une raison de se croire en droit d'agir est "suffisante"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2ème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La réglementation relative à l'erreur sur l'illicéité repose sur l'idée que le justiciable doit faire tout son possible pour connaître la loi et que son ignorance ne le protège que dans des cas exceptionnels (ATF 129 IV 238 consid. 3.1). 2.4.2. Le fait que la détention d'une arme fasse l'objet d'une régulation dans la plupart des pays est notoire (arrêt du Tribunal fédéral 6B_311/2020 du 12 octobre 2020 consid. 3.4). 2.4.3. La Chambre pénale d'appel et de révision (CPAR) a, par exemple, retenu une erreur sur l'illicéité dans le cas d'un prévenu qui ignorait que l'acquisition et la possession d'une matraque électrique étaient soumises à autorisation en Suisse (AARP/222/2021 du 13 juillet 2021, confirmé par l'arrêt du Tribunal fédéral 6B_1058/2021 du 4 avril 2022). 2.5.1. En l'espèce, l'objet saisi dans les bagages en soute de l'appelant est un nunchaku, soit une arme prohibée. Par conséquent, le seul fait de détenir ou de posséder cette arme est déjà illicite et prohibé. S'agissant de la problématique de l'exportation de cet objet, il sied de relever que le "transport" d'une arme prohibée n'est pas réprimé au sens de l'art. 33 al. 1 LArm, mais uniquement son "exportation" laquelle n'est pas visée par l'acte d'accusation. Les arguments de l'appelant portant sur cette question sont ainsi hors sujet. Le seul fait d'avoir possédé un nunchaku est constitutif d'une infraction à l'art. 33 al. 1 let. a LArm. Le jugement du TP ayant retenu une violation de l'art. 33 al. 1 let. a LArm sous cet angle, les griefs de l'appelant sur la violation du droit d'être entendu et la maxime d'accusation seront rejetés. Il s'agit d'examiner, d'abord, si l'appelant a agi par négligence ou avec conscience et volonté. L'appelant a déclaré utiliser ce type d'objet depuis son enfance dans le cadre d'arts martiaux, étant dès lors nécessairement conscient qu'il s'agissait non seulement pas d'un objet anodin, mais que celui-ci pouvait qui plus est être dangereux. Après l'avoir</w:t>
      </w:r>
    </w:p>
    <w:p>
      <w:r>
        <w:t>- 7/11 - P/26035/2023 reçu en cadeau, il l'a, par ailleurs laissé dans sa cave, avant de le ressortir en vue de le transporter en Afrique. Il n'a donc pas agi par négligence mais bien avec conscience et volonté, à tout le moins par dol éventuel. Il a ainsi possédé une arme prohibée, sachant ou devant se douter qu'un tel comportement était prohibé en Suisse. Les éléments constitutifs de l'infraction au sens de l'art. 33 al. 1 let. a LArm étant remplis, l'appelant sera reconnu coupable de ce chef et le verdict de première instance sera confirmé sur ce point.</w:t>
      </w:r>
    </w:p>
    <w:p>
      <w:r>
        <w:rPr>
          <w:b/>
        </w:rPr>
        <w:t>E. 2.6</w:t>
      </w:r>
    </w:p>
    <w:p>
      <w:r>
        <w:t>Il s'agit d'examiner, ensuite, si l'appelant peut se prévaloir de l'erreur sur l'illicéité. Il a, de manière constante, déclaré ne pas avoir su que le fait de posséder un tel objet était soumis à une réglementation dans la mesure où il jouait avec, enfant, "comme dans les films d'art martiaux". Il est crédible lorsqu'il explique que, s'il avait su ou imaginé qu'il violait la loi en transportant cette arme, il ne l'aurait pas mise dans son bagage en soute où elle a immédiatement été visible aux forces de l'ordre. Ainsi, au vu des explications qu'il a fournies de manière constante et en vertu du principe in dubio pro reo, la Cour de céans ne peut exclure qu'il ait été sous l'emprise d'une erreur sur l'illicéité. Cela étant, demeurant en Suisse depuis 2005, l'appelant aurait aisément pu et dû se renseigner sur la licéité de l'objet en cause, notamment par une simple recherche sur Internet, voire auprès de la compagnie aérienne ou des autorités. Son erreur pouvait et devait donc être évitée au sens de l'art. 21 2ème phrase CP. Partant, il ne peut bénéficier d'un acquittement complet, mais tout au plus d'une atténuation de peine au sens de l'art. 21 2ème phrase CP. Au vu de ce qui précède, les appels de A______ et du MP seront rejetés. Le verdict de culpabilité du TP sera confirmé.</w:t>
      </w:r>
    </w:p>
    <w:p>
      <w:r>
        <w:rPr>
          <w:b/>
        </w:rPr>
        <w:t>E. 3</w:t>
      </w:r>
    </w:p>
    <w:p>
      <w:r>
        <w:t>3.1.1. L'infraction à l'art. 33 al. 1 let. a LArm est, en principe, passible d'une peine privative de liberté de trois ans au plus ou d'une peine pécuniaire.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- 8/11 - P/26035/2023</w:t>
      </w:r>
    </w:p>
    <w:p>
      <w:r>
        <w:t>3.1.3. En cas d'erreur sur l'illicéité évitable, le juge atténue la peine (art. 21 CP). Le juge qui atténue la peine n'est pas lié par le minimum légal de la peine prévue pour l'infraction (art. 48a al. 1 CP). Il peut prononcer une peine d'un genre différent de celui qui est prévu pour l'infraction mais il reste lié par le maximum et par le minimum légal de chaque genre de peine (art. 48a al. 2 CP).</w:t>
      </w:r>
    </w:p>
    <w:p>
      <w:r>
        <w:t>3.1.4.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À l'instar de toute autre peine, l'amende doit donc être fixée conformément à l'art. 47 CP (arrêts du Tribunal fédéral 6B_337/2015 du 5 juin 2015 consid. 4.1 ; 6B_988/2010 du 3 mars 2011 consid. 2.1). Le juge doit ensuite, en fonction de la situation financière de l'auteur, fixer la quotité de l'amende de manière qu'il soit frappé dans la mesure adéquate (ATF 129 IV 6 consid. 6.1 in JdT 2005 IV p. 215 ; 119 IV 330 consid. 3). La situation économique déterminante est celle de l'auteur au moment où l'amende est prononcée (arrêt du Tribunal fédéral 6B_547/2012 du 26 mars 2013 consid. 3.4 et les références citées). 3.2.1. La faute de l'appelant n'est pas anodine. Il a acquis et détenu une arme dans sa cave, sans droit. Il a agi de manière désinvolte, sans considération pour la sécurité publique et les interdits en vigueur en Suisse. La collaboration de l'appelant à la procédure a été bonne, celui-ci ayant reconnu avoir commis une erreur. Il l'a assumée, ce qui laisse à penser que sa prise de conscience est entamée. La situation personnelle de l'appelant n'explique ni ne justifie son acte. Elle aurait dû, au contraire, l'amener à s'entourer de plus de précautions avant d'agir de la sorte, comme par exemple en consultant Internet ou encore en s'entourant de plus de précautions avant de placer l'arme dans sa valise. L'absence d'antécédent a un effet neutre sur la fixation de la peine. En raison de l'erreur évitable commise par l'appelant, la peine sera atténuée. 3.2.2. Le prononcé d'une amende est approprié, la CPAR n'étant pas tenue par le genre de peine prévu par l'infraction en question (art. 48a CP). Au regard de sa faute et de sa situation personnelle, en particulier de sa situation financière obérée, le prononcé d'une amende de CHF 500.- apparaît adéquat et suffisamment dissuasif. Une peine privative de liberté de substitution de cinq jours sera prononcée (art. 106 al. 2 CP).</w:t>
      </w:r>
    </w:p>
    <w:p>
      <w:r>
        <w:t>- 9/11 - P/26035/2023</w:t>
      </w:r>
    </w:p>
    <w:p>
      <w:r>
        <w:rPr>
          <w:b/>
        </w:rPr>
        <w:t>E. 4.1</w:t>
      </w:r>
    </w:p>
    <w:p>
      <w:r>
        <w:t>Vu l'issue des appels, tous deux rejetés, 50% des frais de la procédure d'appel, lesquels comprennent un émolument de CHF 1'500.- seront mis à la charge de l'appelant (art. 428 al. 1 CPP), le solde des frais étant laissé à la charge de l'État.</w:t>
      </w:r>
    </w:p>
    <w:p>
      <w:r>
        <w:rPr>
          <w:b/>
        </w:rPr>
        <w:t>E. 4.2</w:t>
      </w:r>
    </w:p>
    <w:p>
      <w:r>
        <w:t>Étant donné la confirmation du verdict de culpabilité, il n'y a en revanche pas lieu de revenir sur la répartition des frais de la procédure préliminaire et de première instance (art. 428 al. 3 CPP).</w:t>
      </w:r>
    </w:p>
    <w:p>
      <w:r>
        <w:rPr>
          <w:b/>
        </w:rPr>
        <w:t>E. 5.1</w:t>
      </w:r>
    </w:p>
    <w:p>
      <w:r>
        <w:t>La question de l'indemnisation du prévenu doit être traitée en relation avec celle des frais. Dans cette mesure, la décision sur les frais préjuge de la question de l'indemnisation (ATF 137 IV 352 consid. 2.4.2).</w:t>
      </w:r>
    </w:p>
    <w:p>
      <w:r>
        <w:rPr>
          <w:b/>
        </w:rPr>
        <w:t>E. 5.2</w:t>
      </w:r>
    </w:p>
    <w:p>
      <w:r>
        <w:t>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Si ni un acquittement total ou partiel, ni un classement de la procédure ne sont prononcés mais que le prévenu obtient gain de cause sur d'autres points, il a droit à une juste indemnité pour ses dépenses (art. 436 al. 2 CPP).</w:t>
      </w:r>
    </w:p>
    <w:p>
      <w:r>
        <w:rPr>
          <w:b/>
        </w:rPr>
        <w:t>E. 5.3</w:t>
      </w:r>
    </w:p>
    <w:p>
      <w:r>
        <w:t>Ladite indemnité concerne les dépenses du prévenu pour un avocat de choix (ATF 138 IV 205 consid. 1), dont les démarches doivent apparaître nécessaires et adéquates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w:t>
      </w:r>
    </w:p>
    <w:p>
      <w:r>
        <w:rPr>
          <w:b/>
        </w:rPr>
        <w:t>E. 5.4</w:t>
      </w:r>
    </w:p>
    <w:p>
      <w:r>
        <w:t>En l'espèce, le conseil de l'appelant a produit un état de frais faisant mention d'une activité totale pour la procédure d'appel de six heures et trois minutes à CHF 350.- / l'heure, pour un total de CHF 2'403.45 comprenant 5% de forfait et la TVA. Toutefois, le forfait de 5%, ne devant pas être pris en compte dans le cadre d'une indemnisation selon 429 CPP et le poste intitulé "réserve pour les opérations futures" d'une heure, seront écartés. Le montant global retenu (CHF 1'910.70) correspond à cinq heures et trois minutes d'activité à CHF 350.- / l'heure (CHF 1'767.50) et la TVA (CHF 143.20). Ce montant sera divisé par moitié dans la mesure où il suit le sort des frais, et arrêté à CHF 955.35. * * * * *</w:t>
      </w:r>
    </w:p>
    <w:p>
      <w:r>
        <w:t>- 10/11 - P/26035/2023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