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AARP/336/2016 vom 23. August 2016</w:t>
      </w:r>
    </w:p>
    <w:p>
      <w:r>
        <w:t>GE Cour de justice, 2016-08-23, FR</w:t>
      </w:r>
    </w:p>
    <w:p>
      <w:r>
        <w:rPr>
          <w:b/>
        </w:rPr>
        <w:t xml:space="preserve">Quelle: </w:t>
      </w:r>
      <w:r>
        <w:t>https://mcp.opencaselaw.ch/entscheid/ge_gerichte_AARP_336_2016</w:t>
      </w:r>
    </w:p>
    <w:p>
      <w:r>
        <w:t>FR: GE_GERICHTE AARP/336/2016 du 23 août 2016</w:t>
      </w:r>
    </w:p>
    <w:p>
      <w:r>
        <w:t>IT: GE_GERICHTE AARP/336/2016 del 23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- 11/21 - P/9667/2014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teneur de l'art. 90 al. 2 LCR, celui qui, par une violation grave d'une règle de la circulation, crée un sérieux danger pour la sécurité d'autrui ou en prend le risque est puni d'une peine privative de liberté de trois ans au plus ou d'une peine pécuniaire.</w:t>
      </w:r>
    </w:p>
    <w:p>
      <w:r>
        <w:t>Selon l'art. 26 LCR,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La vitesse maximale générale des véhicules peut atteindre 50 km/h dans les localités, lorsque les conditions de la route, de la circulation et de visibilité sont favorables (art. 4a al. 1 de l'ordonnance sur les règles de la circulation routière du 13 novembre 1962 [OCR ; RS 741.11]). Selon la jurisprudence, le cas est objectivement grave, c'est-à-dire sans égard aux circonstances concrètes, en cas de dépassement de la vitesse autorisée de 25 km/h ou plus à l'intérieur des localités (ATF 132 II 234 consid. 3.1 p. 237 ss ; 124 II 259 consid. 2b p. 261 ss ; arrêts du Tribunal fédéral 6B_865/2014 du 2 avril 2015 consid. 1.5.1 et 6B_1011/2013 du 13 mars 2014 consid. 2.1). 2.1.2.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(art. 90 al. 4 let. b LCR).</w:t>
      </w:r>
    </w:p>
    <w:p>
      <w:r>
        <w:t>- 12/21 - P/9667/2014 L'art. 90 al. 3 et 4 LCR, entré en vigueur le 1er janvier 2013, consacre une troisième catégorie d'infraction aux règles de la circulation routière sous la forme d'un crime (cf. l'art. 90 al. 1 LCR constituant une contravention et l'art.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Conseil fédéral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conserve une marge de manoeuvre, certes restreinte, afin d'exclure, dans des constellations particulières, la réalisation des conditions subjectives lors d'un dépassement de vitesse particulièrement important au sens de l'art. 90 al. 4 LCR (ATF 142 IV 137 consid. 11.2 p. 151). 2.2.1. Selon l'art. 2 al. 1 du code pénal suisse du 21 décembre 1937 (CP ; RS 311.0), applicable par le renvoi de l'art. 102 LCR,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 L'auteur est mis en jugement au moment où une juridiction statue sur les actes qui lui sont reprochés en tant que juge du fond. Lorsque la juridiction dispose d'un pouvoir</w:t>
      </w:r>
    </w:p>
    <w:p>
      <w:r>
        <w:t>- 13/21 - P/9667/2014 de réforme, l'auteur est "mis en jugement" au sens de l'art. 2 al. 2 CP au moment du prononcé de l'arrêt (ATF 135 IV 113 consid. 2.4 p. 115 ; arrêt du Tribunal fédéral 6B_171/2007 du 23 juillet 2007 consid. 5.1). Pour déterminer quel est le droit le plus favorable, il y a lieu d'examiner l'ancien et le nouveau droit dans leur ensemble et de comparer les résultats auxquels ils conduisent dans le cas concret (ATF 134 IV 82 consid. 6.2.1). Doivent en principe être examinées au premier chef les conditions légales de l'infraction litigieuse. Lorsque le comportement est punissable tant en vertu de l'ancien que du nouveau droit, il y a lieu de procéder à une comparaison d'ensemble des sanctions encourues (ATF 135 IV 113 consid. 2.2 p. 114).</w:t>
      </w:r>
    </w:p>
    <w:p>
      <w:r>
        <w:t>2.2.2. Selon l'art. 100 ch. 4 LCR dans sa version en vigueur au moment des faits,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w:t>
      </w:r>
    </w:p>
    <w:p>
      <w:r>
        <w:t>L'impunité dans les situations visées à l'art. 100 ch. 4 LCR aurait pu se déduire de l'art. 14 CP, voire de l'art. 17 CP (état de nécessité), mais le législateur a préféré régler expressément cette question dans la LCR, par souci de clarté et pour mettre l'accent sur les obligations des conducteurs accomplissant une course officielle urgente (FF 1955 II p. 74). Si le comportement du conducteur est couvert par l'art. 100 ch. 4 LCR, l'illicéité de l'acte est alors exclue.</w:t>
      </w:r>
    </w:p>
    <w:p>
      <w:r>
        <w:t>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un sens étroit. Ce qui est déterminant, c'est la mise en danger de biens juridiquement protégés, dont les dommages peuvent être considérablement aggravés par une petite perte de temps (sur la notion de course urgente, cf. arrêts du Tribunal fédéral 6B_1102/2015 du 20 juillet 2016 consid. 2.1 ; 6B_1006/2013 du 25 septembre 2014 consid. 3.4 ; 6B_689/2012 du 3 avril 2013 consid. 2.1 ; 6B_288/2009 du 13 août 2009 consid. 3 ; 6B_20/2009 du 14 avril 2009 consid. 4 ; cf. également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l'énergie et de la communication [ci-après : Notice du DETEC], ch. 1). Pour apprécier le degré d'urgence, les conducteurs de véhicules et les chefs des services d'intervention doivent ou peuvent se fonder sur la situation telle qu'elle se présente à eux au</w:t>
      </w:r>
    </w:p>
    <w:p>
      <w:r>
        <w:t>- 14/21 - P/9667/2014 moment de l'intervention. Les conditions du trafic doivent être telles qu'on risque d'être considérablement retardé dans l'intervention si l'on ne déroge pas aux règles de circulation ou si l'on ne fait pas usage du droit spécial de priorité (Notice du DETEC ch. 1).</w:t>
      </w:r>
    </w:p>
    <w:p>
      <w:r>
        <w:t>L'autorisation de ne pas respecter les règles de la circulation va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En outre,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Celui-ci implique notamment que le risque pris ne doit pas être excessif par rapport au but poursuivi (C. MIZEL, "De l'exigence actuelle de prudence lors des courses officielles urgentes", SJ 2005 II p. 231, p. 239 s.). Compte tenu de l'interprétation restrictive de la proportionnalité par le Tribunal fédéral en cas de courses d'urgence alors que les policiers avaient commis des délits au sens de l'art. 90 al. 2 LCR (voir arrêts du Tribunal fédéral 6B_20/2009 du 14 avril 2009 et 6B_288/2009 du 13 août 2009), Yvan JEANNERET relève qu'en cas d'infraction commise par un policer d'une gravité telle qu'elle tombe sous le coup de l'art. 90 al. 3 LCR, la proportionnalité devrait, sauf situation extraordinaire, être niée (Y. JEANNERET, "Via Sicura : le nouvel arsenal pénal", Circulation routière 2/2013, p. 31 ss, p. 39).</w:t>
      </w:r>
    </w:p>
    <w:p>
      <w:r>
        <w:t>2.2.3. L'art. 100 ch. 4 LCR dans sa version en vigueur depuis le 1er août 2016 stipule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(nouvelle teneur selon le ch. 4 de l'annexe à la loi fédérale du 18 mars 2016 sur les douanes ; RO 2016 2429 ; FF 2015 2657).</w:t>
      </w:r>
    </w:p>
    <w:p>
      <w:r>
        <w:t>La modification de l'art. 100 ch. 4 LCR fait notamment suite à deux motions parlementaires visant à mieux tenir compte du caractère spécial du travail accompli</w:t>
      </w:r>
    </w:p>
    <w:p>
      <w:r>
        <w:t>- 15/21 - P/9667/2014 par les services d'urgence (Motions Zanetti et Chopard-Acklin du 24 septembre 2014 [14.3792 "Interventions des services d'urgence. Optimiser la législation sur la circulation routière" et 14.3800 "Interventions des services d'urgence. Optimiser la législation sur la circulation routière"]). En substance, ces motions demandaient d'une part qu'il soit possible de justifier une infraction aux règles de la circulation routière en vertu de l'art. 100 ch. 4 LCR même si aucun signal d'avertissement n'a été donné pour ne pas contrevenir à l'objectif de la course (par exemple lors d'une observation) et d'autre part qu'il soit stipulé que le tribunal peut exempter de toute peine le conducteur du véhicule ou atténuer cette peine si les conditions requises pour justifier l'infraction en vertu de l'art. 100 ch. 4 LCR ne sont pas toutes réunies (par exemple non-respect du principe de proportionnalité ; voir Message du Conseil fédéral du 6 mars 2015 concernant la modification de la loi fédérale sur les douanes, FF 2015 2657 2675 [ci-après : Message du 6 mars 2015]).</w:t>
      </w:r>
    </w:p>
    <w:p>
      <w:r>
        <w:t>La nouvelle disposition vise avant tout l'exemption de peine en cas de course officielle pour des raisons tactiques. Les cas dans lesquels le Tribunal peut exempter de peine l'auteur sont précisés et complétés. Lors d'une course envisagée à l'art. 100 ch. 4 LCR, le conducteur doit se conformer au principe de proportionnalité (Message du 6 mars 2015, FF 2015 2657 2700). Le texte légal est clair à cet égard, le respect de "la prudence imposée par les circonstances" demeurant une condition. Par ailleurs, il est désormais prévu que le juge puisse atténuer la peine notamment si le conducteur n'a pas fait preuve de la prudence imposée par les circonstances. Selon le message du 6 mars 2015, les motifs d'atténuation de la peine sont moins restrictifs que ceux mentionnés à l'art. 48 CP. La peine encourue ne pourra pas être atténuée si le conducteur n'a nullement fait preuve de la prudence imposée par les circonstances (Message du 6 mars 2015, FF 2015 2657 2701). 2.3.1. La nouvelle teneur de l'art. 100 ch. 4 LCR, entrée en vigueur avant le prononcé du présent arrêt, paraît plus favorable que l'ancien droit, en principe applicable à l'appelant, au vu notamment de la possibilité d'atténuer la peine dans certaines circonstances. C'est en conséquence le nouveau droit qui sera appliqué en l'espèce. 2.3.2. Il est admis par toutes les parties que l'appelant a commis un excès de vitesse de 82 km/h, marge de sécurité déduite, sur un tronçon limité à 50 km/h. Il est également admis que l'appelant a agi dans le cadre d'une course officielle urgente – à tout le moins qu'il se représentait comme telle (art. 13 CP) – et qu'il a roulé tout au long de sa mission alarme et feux bleus enclenchés, soit en donnant les signaux d'avertissement nécessaires. La nécessité de principe d'engager une course d'urgence n'est enfin pas remise en cause, le Tribunal de police ayant retenu, sans que le MP ne le conteste en appel, que l'appelant pouvait considérer que son véhicule était le mieux placé pour intervenir.</w:t>
      </w:r>
    </w:p>
    <w:p>
      <w:r>
        <w:t>- 16/21 - P/9667/2014</w:t>
      </w:r>
    </w:p>
    <w:p>
      <w:r>
        <w:t>Reste à déterminer si l'appelant a observé la prudence qu'imposaient les circonstances et respecté le principe de proportionnalité, étant relevé que cette exigence n'a nullement été abandonnée lors de la modification de l'art. 100 ch. 4 LCR.</w:t>
      </w:r>
    </w:p>
    <w:p>
      <w:r>
        <w:t>L'appelant a roulé à 138 km/h aux portes du centre-ville de Genève, dans une zone située encore en localité, à proximité immédiate d'un parc public. La proportionnalité d'un dépassement de vitesse de 82 km/h en ville doit assurément être niée si l'objectif poursuivi par l'auteur est de garantir la sécurité publique et d'arrêter un fugitif, le risque créé dépassant celui à éviter. L'appelant ne semble d'ailleurs pas l'ignorer, une large partie de son argument consistant à essayer de démontrer que, dans sa représentation des faits, des vies humaines étaient en jeu, de sorte que le danger à éviter était aussi important voire plus que le danger créé par son comportement. Sa bonne foi paraît douteuse sur ce point dès lors qu'il n'a pas évoqué dans ses premières déclarations une telle compréhension de la situation. Par ailleurs, ainsi que l'a relevé le premier juge, l'appelant ne pouvait déduire des informations fournies par la CECAL, lesquelles ne faisaient mention d'aucun accident ou blessé, qu'il existait un danger imminent pour l'intégrité corporelle ou la vie humaine. Les indications données par la CECAL sont nécessairement brèves. Les policiers n'en concluent pas pour autant à chaque signalement qu'il existe un danger imminent pour la vie. En l'occurrence, une telle interprétation relevait de la pure hypothèse. Si l'appelant a effectivement éprouvé un doute à la mention d'une personne mise en danger concrètement par celui qu'il a pris pour un fuyard, l'urgence de la situation n'empêchait pas une vérification, qui aurait pu être effectuée par son collègue et n'aurait pas pris plus de quelques secondes. L'appelant ne peut ainsi prétendre avoir agi parce qu'il pensait à un risque imminent pour l'intégrité corporelle d'autrui ou la vie. Admettrait-on la version de l'appelant, son action demeurerait disproportionnée au but visé. Au moment où la photographie a été prise par le radar, l'appelant s'apprêtait à franchir en localité, en milieu d'après-midi un jour de semaine, un passage pour piétons situé à proximité d'un parc public. Selon ses propres déclarations, la vitesse mesurée par le radar constituait un pic. En d'autres termes, alors même qu'il s'approchait d'une zone où les risques d'accident augmentaient, l'appelant n'a pas ralenti. La distance de freinage de son véhicule, de plus de 110 m, chiffre que l'appelant a lui-même produit, illustre le risque encouru. Les conditions favorables de la route – tronçon rectiligne, excellente visibilité, bonnes conditions météorologiques, feu de signalisation en phase verte pour le conducteur – et le fait que son passager le renseignait en continu sur les éventuels obstacles ne permettaient pas d'écarter, ni même de minimiser, le risque le plus évident dans une telle configuration, soit qu'un piéton, par exemple un enfant peu attentif aux signaux sonores qui l'entourent, surgisse d'une voiture parquée dans la rue parallèle ou de la sortie du parc des Eaux-Vives et s'élance sur la route. A la vitesse à laquelle il</w:t>
      </w:r>
    </w:p>
    <w:p>
      <w:r>
        <w:t>- 17/21 - P/9667/2014 circulait, l'appelant n'aurait jamais été en mesure d'éviter un choc fatal, sauf peut-être en déviant sa trajectoire sur la portion de route dédiée aux véhicules venant en sens inverse, ce qui n'est guère préférable. L'on ne voit pas qu'il puisse être justifié de créer un tel danger pour parer à un risque, très hypothétique, que le conducteur poursuivi porte atteinte à l'intégrité physique d'autrui.</w:t>
      </w:r>
    </w:p>
    <w:p>
      <w:r>
        <w:t>Au vu de ce qui précède, c'est à juste titre que le premier juge a écarté l'application de l'art. 100 ch. 4 LCR. 2.3.3. L'excès de vitesse commis par l'appelant, particulièrement important, entre largement dans les prescriptions de l'art. 90 al. 4 let. b LCR, de sorte que les conditions objectives de l'art. 90 al. 3 LCR sont réunies. L'appelant a indiqué qu'il était conscient de rouler à plus de 100 km/h, soit de dépasser la vitesse autorisée d'au moins 50 km/h alors que le tronçon était limité à 50 km/h. Les principes applicables en cas de course d'urgence lui avaient été rappelés, de sorte qu'il savait devoir faire preuve de retenue et était conscient de la nature fondamentale pour la sécurité des règles relatives aux limitations de vitesse. L'appelant les a nonobstant sciemment et délibérément enfreintes. La signalisation lumineuse et sonore du véhicule, les instructions d'un coéquipier, la très faible densité du trafic, les bonnes conditions météorologiques et de visibilité, des compétences spécifiques en tant que conducteur et la qualité d'un véhicule sont des facteurs, qui, considérés ensemble, pourraient peut-être constituer dans certaines circonstances des facteurs permettant de conclure que l'auteur d'un excès de vitesse entrant dans les prévisions de l'art. 90 ch. 4 LCR a exclu, par une imprévoyance coupable, la création d'un grand risque d'accident pouvant entraîner de graves blessures ou la mort. En l'occurrence toutefois, vu l'ampleur de l'excès de vitesse, dont il n'est pas inutile de rappeler qu'il se situe 32 km/h au-dessus de la limite inférieure du cas grave de l'art. 90 ch. 4 let. b LCR, il y a lieu de retenir que l'appelant a accepté de courir un grand risque d'accident pouvant entraîner de graves blessures ou la mort. Le but poursuivi, certes louable, n'est pas pertinent pour déterminer ce dont l'appelant s'est accommodé. Les conditions de l'art. 90 al. 3 LCR sont réalisées. Le jugement entrepris sera par conséquent confirmé et l'appel rejeté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w:t>
      </w:r>
    </w:p>
    <w:p>
      <w:r>
        <w:t>- 18/21 - P/9667/2014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3.3</w:t>
      </w:r>
    </w:p>
    <w:p>
      <w:r>
        <w:t>En l'espèce, l'appelant a commis un considérable excès de vitesse en ville, alors qu'il savait plus que quiconque du fait de sa profession les risques engendrés par la vitesse. Le seuil du cas grave visé à l'art. 90 al. 4 let. b LCR a largement été dépassé. Le but de son intervention est en soi louable, mais ne justifie nullement son comportement. Il est grave que malgré sa formation et ses précédents administratifs, l'appelant n'ait pas hésité une seule seconde à dépasser aussi massivement les vitesses autorisées. Ses raisons d'agir de la sorte demeurent indécises ; un goût pour la vitesse n'est pas exclu. La faute est importante.</w:t>
      </w:r>
    </w:p>
    <w:p>
      <w:r>
        <w:t>- 19/21 - P/9667/2014 Dans la mesure où l'excès de vitesse ne pouvait en tant que tel être contesté, la collaboration à la procédure ne révèle rien de significatif. La prise de conscience est médiocre. L'appelant s'entête dans ses explications et persiste à considérer qu'il peut être justifié de rouler à près de 140 km/h en ville. L'appelant n'a pas d'antécédent judiciaire, ce qui est un facteur neutre sur la fixation de la peine. La culpabilité de l'appelant est importante, ce qui exclut l'exemption de peine, quelles que soient au demeurant les conséquences de l'acte. La CPAR estime qu'il n'y a pas lieu d'atténuer la peine comme l'autorise désormais l'art. 100 ch. 4 LCR, le principe de proportionnalité ayant été gravement méconnu par l'appelant. Au vu de ce qui précède, il convient de confirmer la peine privative de liberté d'un an prononcée par le premier juge et de rejeter l'appel. Le bénéfice du sursis, dont les conditions sont réalisées, est acquis à l'appelant (art. 391 al. 2 CPP).</w:t>
      </w:r>
    </w:p>
    <w:p>
      <w:r>
        <w:rPr>
          <w:b/>
        </w:rPr>
        <w:t>E. 4.1</w:t>
      </w:r>
    </w:p>
    <w:p>
      <w:r>
        <w:t>L'appelant, qui succombe, supportera les frais de la procédure d'appel, comprenant un émolument de jugement de CHF 2'000.- (art. 428 al. 1 CPP ; art. 14 al. 1 let. e du Règlement fixant le tarif des frais en matière pénale [RTFMP ; E 4 10.03]).</w:t>
      </w:r>
    </w:p>
    <w:p>
      <w:r>
        <w:rPr>
          <w:b/>
        </w:rPr>
        <w:t>E. 4.2</w:t>
      </w:r>
    </w:p>
    <w:p>
      <w:r>
        <w:t>Les conclusions en indemnisation de l'appelant seront rejetées (art. 429 al. 1 let. a et 436 al. 2 CPP a contrario), étant au surplus relevé que ses frais de défense ont déjà été pris en charge par l'Etat. * * * * *</w:t>
      </w:r>
    </w:p>
    <w:p>
      <w:r>
        <w:t>- 20/21 - P/9667/2014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