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AARP/334/2020 vom 24. September 2020</w:t>
      </w:r>
    </w:p>
    <w:p>
      <w:r>
        <w:t>GE Cour de justice, 2020-09-24, FR</w:t>
      </w:r>
    </w:p>
    <w:p>
      <w:r>
        <w:rPr>
          <w:b/>
        </w:rPr>
        <w:t xml:space="preserve">Quelle: </w:t>
      </w:r>
      <w:r>
        <w:t>https://mcp.opencaselaw.ch/entscheid/ge_gerichte_AARP_334_2020</w:t>
      </w:r>
    </w:p>
    <w:p>
      <w:r>
        <w:t>FR: GE_GERICHTE AARP/334/2020 du 24 septembre 2020</w:t>
      </w:r>
    </w:p>
    <w:p>
      <w:r>
        <w:t>IT: GE_GERICHTE AARP/334/2020 del 24 settembre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L'infraction à l'art. 111 CP est passible d'une peine privative de liberté de cinq ans au moins.</w:t>
      </w:r>
    </w:p>
    <w:p>
      <w:r>
        <w:t>Les infractions aux art. 219 al. 1 CP et 33 al. 1 let. a LArm sont punies d'une peine privative de liberté de trois ans au plus ou d'une peine pécuniaire.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- 10/19 - P/16334/2018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2.2.2. Aux termes de l'art. 19 al. 2 CP, le juge atténue la peine si, au moment d'agir, l'auteur ne possédait que partiellement la faculté d'apprécier le caractère illicite de son acte ou de se déterminer d'après cette appréciation. La culpabilité de l'auteur dont la responsabilité pénale est restreinte est ainsi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 ci. Un tel procédé permet de tenir compte de la diminution de la responsabilité sans lui attribuer une signification excessive (ATF 136 IV 55 consid. 5.6 p. 62 ; arrêt du Tribunal fédéral 6B_1036/2018 du 28 novembre 2018 consid. 1.3). En résumé, le juge doit procéder comme suit en cas de diminution de la responsabilité pénale. Dans une première étape, il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La faute globale doit être qualifiée et, au regard de l'art. 50 CP, le juge doit expressément mentionner le degré de gravité à prendre en compte. Dans une dernière phase, cette peine est éventuellement augmentée ou diminuée en raison des facteurs liés à l'auteur ainsi qu'en raison d'une éventuelle tentative selon l'art. 22 al. 1 CP (ATF 136 IV 55 consid. 5.7 p. 62 s. ; arrêts du Tribunal fédéral 6B_1036/2018 du 28 novembre 2018 consid. 1.3 et 6B_616/2015 du 5 avril 2016 consid. 2.3).</w:t>
      </w:r>
    </w:p>
    <w:p>
      <w:r>
        <w:t>- 11/19 - P/16334/2018</w:t>
      </w:r>
    </w:p>
    <w:p>
      <w:r>
        <w:t>2.2.3. La bonne collaboration à l'enquête peut, lorsqu'elle ne remplit pas les conditions d'un repentir sincère (art. 48 let. d CP), constituer un élément favorable pour la fixation de la peine dans le cadre ordinaire de l'art. 47 CP (arrêts du Tribunal fédéral 6B_1054/2019 du 27 janvier 2020 consid. 1.1 ; 6B_554/2019 du 26 juin 2019 consid. 4.1).</w:t>
      </w:r>
    </w:p>
    <w:p>
      <w:r>
        <w:rPr>
          <w:b/>
        </w:rPr>
        <w:t>E. 2.3</w:t>
      </w:r>
    </w:p>
    <w:p>
      <w:r>
        <w:t>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défaut en tout ou en partie (ATF 140 IV 150 consid. 3.4).</w:t>
      </w:r>
    </w:p>
    <w:p>
      <w:r>
        <w:t>L'atténuation de la peine prévue par l'art. 22 CP au titre de tentative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En d'autres termes, la réduction devra être d'autant plus faible que le résultat était proche et ses conséquences graves (ATF 127 IV 101 consid. 2.b).</w:t>
      </w:r>
    </w:p>
    <w:p>
      <w:r>
        <w:t>2.4.1. En l'espèce, il sera retenu, à charge, que l'appelant s'en est pris à une vie, bien juridique le plus important. Il s'est au surplus attaqué à l'enfant de son ex-compagne, qu'il avait en partie éduqué et qu'il avait le devoir de protéger. Il a pris sa victime par surprise à la sortie de son domicile et lui a infligé plusieurs coups de couteau. Cet acte a eu des conséquences importantes pour la victime, qui a subi des blessures physiques et souffert de séquelles psychiques, ayant dû être hospitalisée en raison d'un épisode dépressif majeur.</w:t>
      </w:r>
    </w:p>
    <w:p>
      <w:r>
        <w:t>Le contexte dans lequel s'est inscrite cette pulsion homicide doit être appréhendé. En effet, l'appelant a expliqué s'être trouvé dans un état de souffrance suite à l'intervention de H______, qui lui avait expliqué qu'il devrait attendre l'avis du SPMI pour voir sa fille, cette situation l'ayant poussé à vouloir mettre fin à ses jours. Cet état émotionnel n'a certes pas été constaté par le précité le samedi 25 août 2018, après que la police était intervenue au domicile familial. L'appelant a toutefois expliqué avoir perdu pied après avoir reçu un message de l'éducateur qui lui demandait de patienter dans l'attente de la décision du SPMI, ce qui est crédible, au regard de la teneur des messages ensuite échangés avec son ex-compagne. L′état émotionnel dans lequel l′appelant s′est trouvé au moment des faits ne saurait toutefois excuser son geste. En effet, le seul fait de devoir patienter quelques jours dans l′attente d′une décision du SPMI pour reprendre des relations avec un enfant n'apparaît pas, du point de vue d′une personne raisonnable – même atteinte d′un</w:t>
      </w:r>
    </w:p>
    <w:p>
      <w:r>
        <w:t>- 12/19 - P/16334/2018 trouble mental tel que l′appelant –, comme une circonstance suffisante pour justifier un tel état, et encore moins le fait de s′en prendre à une vie. Il est en outre pour le moins particulier que l'appelant ait souhaité mettre fin à ses jours en voulant faire exploser une cuisinière à gaz – qui était en réalité une cuisinière électrique –, tout en emportant avec lui plusieurs couteaux. Il est également surprenant que la prétendue volonté de l'appelant de s'en prendre à lui- même se soit retournée contre son beau-fils au moment où celui-ci a ouvert la porte. Reste qu'aucun élément ne démontre que l'appelant aurait eu l'intention de s'en prendre à la vie de la victime avant de la rencontrer sur le pas de porte de l'appartement familial. Les différents messages envoyés à son ex-compagne jusqu'à quelques heures avant les faits n'apportent aucun éclaircissement s'agissant de ses intentions à ce moment-là. Le tentamen (au vu des blessures que l'appelant s'est infligées après les faits) peut relever tant d'une volonté préexistante d'attenter à ses jours que de regrets que l'intéressé aurait pu avoir suite à son geste. En définitive, le doute devant profiter à l'appelant, ses explications concernant les mobiles qui l'ont poussé à se rendre armé au domicile familial seront tenues pour vraies. Au vu de ce qui précède, tenant compte de l'ensemble des circonstances ayant trait à l'acte lui-même la CPAR considère qu'une peine privative de liberté de l′ordre de dix ans doit être retenue comme peine de base, la faute, à ce stade, devant être qualifiée de très grave. 2.4.2. Cette peine doit être ramenée à sept ans et six mois afin de tenir compte de la responsabilité légèrement restreinte de l'appelant au moment des faits – la CPAR faisant siennes les conclusions de l'expertise psychiatrique à cet égard –, ce qui réduit d'autant sa faute, qui sera en définitive qualifiée de grave. 2.4.3. La peine sera atténuée pour tenir compte du fait que l'infraction n'a été que tentée, D______ n'ayant pas succombé à ses blessures. Cela étant, si la vie de la victime n'a au final pas été concrètement mise en danger, c'est principalement dû à sa réactivité et à sa résistance, tout comme à l'intervention rapide des secours, plutôt qu′à un renoncement de l'appelant, celui-ci ayant porté de nombreux coups de couteau à son beau-fils avant de s'enfuir en l'abandonnant à son sort. L'atténuation de la peine du fait de la tentative ne pourra dès lors être que légère, celle-ci étant ramenée à six ans. 2.4.4. Enfin, et conformément à la jurisprudence, il convient de tenir compte des facteurs liés à l'auteur lui-même. En l'espèce, l'absence d'antécédent est un facteur neutre au regard de la peine.</w:t>
      </w:r>
    </w:p>
    <w:p>
      <w:r>
        <w:t>- 13/19 - P/16334/2018 La collaboration de l'appelant a, à juste titre, été qualifiée de bonne par les premiers juges. En effet, l'intéressé a immédiatement admis les faits s'agissant de la tentative de meurtre, reconnaissant dès sa première audition avoir eu l'intention de tuer son beau-fils. Sa prise de conscience semble être en bonne voie. L'appelant a exprimé des regrets tout au long de la procédure, lesquels paraissent sincères, malgré les doutes évoqués par les experts à ce sujet. Il a adressé une lettre à son beau-fils dans le but de s'excuser, et ce, relativement peu de temps après les faits (octobre 2018). Il a reconnu avoir besoin d'un traitement d'ordre psychothérapeutique, dans lequel il s'est investi, et a volontairement sollicité un suivi psychologique en détention. Selon l'attestation la plus récente fournie par les HUG, il ne présentait plus aucune indication pour que le suivi psychiatrique soit maintenu. Enfin, après avoir commencé à travailler en prison, il a de sa propre initiative ouvert deux comptes dans le but d'y verser mensuellement des sommes destinées à indemniser la victime et à contribuer aux frais de justice. Si l'appelant ne remplit pas les conditions d'un repentir sincère au sens de l'art. 48 let. d CP (au demeurant non plaidé), il convient néanmoins de tenir compte, à décharge, de ce qui précède, les efforts fournis par ce dernier dans la reconnaissance et la compréhension de ses actes n'apparaissant pas comme dictés par la crainte de la sanction mais comme un mouvement de fond, dans la perspective de ne plus récidiver dans des actes de violence. De ce fait, la peine sera arrêtée à cinq ans. Le jugement de première instance sera ainsi réformé, l'appel étant partiellement admis.</w:t>
      </w:r>
    </w:p>
    <w:p>
      <w:r>
        <w:rPr>
          <w:b/>
        </w:rPr>
        <w:t>E. 2.5</w:t>
      </w:r>
    </w:p>
    <w:p>
      <w:r>
        <w:t>Le jugement de première instance sera confirmé s'agissant de la peine de 120 jours-amende, à CHF 30.- l'unité, relative aux infractions aux art. 33 LArm et 219 CP, celle-ci étant adéquate. Cette peine n'est au demeurant pas vraiment contestée puisque, selon les termes de sa déclaration d'appel, l'appelant s'accommode d'une peine « n'excédant pas 120 jours-amende » et que ce point n'a pas été plaidé au cours de l'audience d'appel.</w:t>
      </w:r>
    </w:p>
    <w:p>
      <w:r>
        <w:rPr>
          <w:b/>
        </w:rPr>
        <w:t>E. 3</w:t>
      </w:r>
    </w:p>
    <w:p>
      <w:r>
        <w:t>L'appelant obtient partiellement gain de cause, sa peine étant réduite d'une année. Il se justifie ainsi de mettre à sa charge la moitié des frais de la procédure d'appel, lesquels comprennent un émolument de CHF 2'000.- (art. 428 CPP et 14 al. 1 let. e du règlement fixant le tarif des frais en matière pénale [RTFMP]), le solde étant laissé à la charge de l'Etat.</w:t>
      </w:r>
    </w:p>
    <w:p>
      <w:r>
        <w:rPr>
          <w:b/>
        </w:rPr>
        <w:t>E. 4.1</w:t>
      </w:r>
    </w:p>
    <w:p>
      <w:r>
        <w:t>Selon l'art. 135 al. 1 CPP, le défenseur d'office ou le conseil juridique gratuit (cf. art. 138 al. 1 CPP) est indemnisé conformément au tarif des avocats de la Confédération ou du canton du for du procès. S'agissant d'une affaire soumise à la</w:t>
      </w:r>
    </w:p>
    <w:p>
      <w:r>
        <w:t>- 14/19 - P/16334/2018 juridiction cantonale genevoise, l'art. 16 du règlement sur l'assistance juridique (RAJ) s'applique. Cette dernière disposition prescrit que l'indemnité, en matière pénale, est calculée selon le tarif horaire suivant, débours de l'étude inclus : collaborateur CHF 150.- (let. b).</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La rémunération forfaitaire de la vacation aller/retour au et du Palais de justice ou au et du bâtiment du Ministère public est arrêtée à CHF 75.- pour les collaborateurs, dite rémunération étant allouée d'office par la juridiction d'appel pour les débats devant elle.</w:t>
      </w:r>
    </w:p>
    <w:p>
      <w:r>
        <w:rPr>
          <w:b/>
        </w:rPr>
        <w:t>E. 4.3</w:t>
      </w:r>
    </w:p>
    <w:p>
      <w:r>
        <w:t>En l'occurrence, l'activité consacrée au « travail sur dossier en lien avec la déclaration d'appel » ne sera pas indemnisée. En effet, la rédaction de la déclaration d'appel ne nécessitait pas un travail particulièrement complexe qui aurait justifié une heure d'intervention, alors qu'elle est couverte par le forfait alloué pour la rédaction des divers courriers. Il en ira de même des 15 minutes consacrées au « travail sur dossier », dès lors que la CPAR ignore ce qu'elles concernent. Le temps consacré à la préparation de l'audience sera en outre ramené à quatre heures, lesquelles apparaissent comme suffisantes eu égard à la complexité modérée de la cause, étant rappelé que seule la quotité de la peine a été contestée en appel et que le conseil de l'appelant devait connaître parfaitement le dossier, étant déjà intervenu en première instance (cinq heures ayant été consacrées pour la préparation de l'audience de jugement, alors que celle-ci portait sur l'entier de la cause). Il sera par ailleurs tenu compte de la durée de l'audience d'une heure et 30 minutes et de la vacation y</w:t>
      </w:r>
    </w:p>
    <w:p>
      <w:r>
        <w:t>- 15/19 - P/16334/2018 relative (CHF 75.-), ainsi que du forfait de 10% pour les divers courriers, le travail du défenseur d'office dépassant les 30 heures d'activité en première instance. La rémunération de Me C______ sera ainsi arrêtée à CHF 2'938.85 pour 16 heures et</w:t>
      </w:r>
    </w:p>
    <w:p>
      <w:r>
        <w:rPr>
          <w:b/>
        </w:rPr>
        <w:t>E. 5</w:t>
      </w:r>
    </w:p>
    <w:p>
      <w:r>
        <w:t>minutes d'activité au tarif de CHF 150.-/heure (CHF 2'412.50) plus la majoration forfaitaire de 10% (CHF 241.25) ainsi que la vacation de CHF 75.- et la TVA à 7.7% (CHF 210.10). * * * * *</w:t>
      </w:r>
    </w:p>
    <w:p>
      <w:r>
        <w:t>- 16/19 - P/16334/2018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