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AARP/333/2023 vom 12. September 2023</w:t>
      </w:r>
    </w:p>
    <w:p>
      <w:r>
        <w:t>GE Cour de justice, 2023-09-12, FR</w:t>
      </w:r>
    </w:p>
    <w:p>
      <w:r>
        <w:rPr>
          <w:b/>
        </w:rPr>
        <w:t xml:space="preserve">Quelle: </w:t>
      </w:r>
      <w:r>
        <w:t>https://mcp.opencaselaw.ch/entscheid/ge_gerichte_AARP_333_2023</w:t>
      </w:r>
    </w:p>
    <w:p>
      <w:r>
        <w:t>FR: GE_GERICHTE AARP/333/2023 du 12 septembre 2023</w:t>
      </w:r>
    </w:p>
    <w:p>
      <w:r>
        <w:t>IT: GE_GERICHTE AARP/333/2023 del 12 settembre 2023</w:t>
      </w:r>
    </w:p>
    <w:p>
      <w:pPr>
        <w:pStyle w:val="Heading2"/>
      </w:pPr>
      <w:r>
        <w:t>Erwägungen</w:t>
      </w:r>
    </w:p>
    <w:p>
      <w:r>
        <w:rPr>
          <w:b/>
        </w:rPr>
        <w:t>E. 1</w:t>
      </w:r>
    </w:p>
    <w:p>
      <w:r>
        <w:t>L'appel est recevable pour avoir été interjeté et motivé selon la forme et dans les délais prescrits (art. 398 et 399 CPP).</w:t>
      </w:r>
    </w:p>
    <w:p>
      <w:r>
        <w:t>- 20/40 - P/7252/2019</w:t>
      </w:r>
    </w:p>
    <w:p>
      <w:r>
        <w:t>La Chambre limite son examen aux violations décrites dans l'acte d'appel (art. 404 al. 1 CPP), sauf en cas de décisions illégales ou inéquitables (art. 404 al. 2 CPP).</w:t>
      </w:r>
    </w:p>
    <w:p>
      <w:r>
        <w:rPr>
          <w:b/>
        </w:rPr>
        <w:t>E. 2</w:t>
      </w:r>
    </w:p>
    <w:p>
      <w:r>
        <w:t>2.1.1. Aux termes de l'art. 66 CPP la procédure devant les autorités pénales est orale, à moins que le CPP ne prévoie la forme écrite. 2.1.2. L'art. 143 al. 6 CPP dispose que le comparant fait ses déclarations de mémoire. Toutefois, avec l'accord de la direction de la procédure, il peut déposer sur la base de documents écrits; ceux-ci sont versés au dossier à la fin de l'audition. Le principe posé par cette disposition est que la personne entendue doit faire ses déclarations sur la base de sa seule mémoire. Les documents écrits peuvent servir, avec l'accord de la direction de la procédure, d'aide lorsque la personne est interrogée par exemple sur des dates, des chiffres, des détails techniques, des questions de comptabilité, etc.. L'application de cette disposition ne doit toutefois pas permettre à une personne de présenter sa déclaration sur la base d'une note écrite à l'avance, le cas échéant avec l'aide d'un tiers, à la manière d'une plaidoirie (HÄRING, in Basler Kommentar, Schweizerische Strafprozessordnung, 2e éd. 2014, no 42 ad art. 143 ; GODENZI, in Kommentar zur Schweizerischen Strafprozessordnung, DONATSCH/ HANSJAKOB/LIBER [éd.], 2e éd. 2014, n° 37 ad art. 143 ; N. SCHMID, Schweizerische Strafprozessordnung, Praxiskommentar, 2e éd. 2013, n° 15 ad art. 143 ; le même, Handbuch des schweizerischen Strafprozessrechts, 2e éd. 2013, n° 813). 2.1.3. En application de l'art. 145 CPP, l'autorité pénale peut, en lieu et place d'une audition ou en complément de celle-ci, inviter le comparant à lui présenter un rapport écrit sur ses constatations. Selon la jurisprudence, cette disposition doit être appliquée avec retenue et reste une exception, en particulier à l'égard du prévenu dès lors qu'il est important pour l'autorité de pouvoir constater l'impression qui se dégage de sa personne. L'interrogatoire oral est la règle et la présentation de rapports écrits ne doit pas entraîner une restriction des droits de partie, en particulier au regard de son droit de participer à l'administration des preuves (art. 147 CPP ; arrêt 6B_835/2014 du 8 décembre 2014 consid. 2.2 et les références citées). Comme toute preuve versée au dossier, le rapport écrit est soumis, en application de l'art. 10 al. 2 CPP, à la libre appréciation de l'autorité (arrêt du Tribunal fédéral 6S.554/2006 du 15 mars 20006 consid. 7). 2.1.4. Quant à l'art. 341 al. 3 CPP, qui figure au chapitre concernant les débats de première instance, il prévoit qu'au début de la procédure probatoire, la direction de la procédure interroge le prévenu de façon détaillée sur sa personne, sur l'accusation et sur les résultats de la procédure préliminaire. Cet interrogatoire doit permettre au tribunal de se faire une impression personnelle et directe concernant le prévenu et de permettre à celui-ci de faire connaître sa position quant aux accusations (HAURI/VENETZ in Basler Kommentar, Schweizerische</w:t>
      </w:r>
    </w:p>
    <w:p>
      <w:r>
        <w:t>- 21/40 - P/7252/2019 Strafprozessordnung, 2e éd. 2014, no 14 ad art. 341 ; cf. arrêt 6B_492/2012 du 22 février 2013 consid. 2.4.1). Il permet également aux autres parties de faire poser des questions et d'exercer de la sorte leur droit d'être entendu (art. 341 al. 2 CPP). 2.1.2. En vue des débats de seconde instance, l'appelant a déposé un mémoire écrit, accompagné de plusieurs pièces. Bien que devant les autorités pénales la procédure se déroule principalement de manière orale et que le CPP ne prévoit pas expressément le droit, pour les parties, de déposer un mémoire écrit en vue des débats, il ne l'exclut pas non plus. Le CPP réserve par ailleurs expressément la possibilité à l'autorité pénale de procéder par écrit dans certains cas, pour autant que le droit d'être entendu des parties soit respecté, ce qui a été le cas en l'espèce. En effet, l'appelant a adressé à la CPAR, plusieurs jours avant les débats d'appel, son mémoire muni de pièces, dont il a dans le même temps transmis un exemplaire à l'intimée, de sorte que celle-ci a eu le loisir d'en prendre connaissance avant l'audience. Dans cette mesure, il n'y avait pas matière à écarter cet écrit de la procédure, d'autant moins que lors des débats d'appel, de sorte que son mémoire ne s'est pas substitué à son propre témoignage. L'intimée a eu la possibilité de l'interroger à ce sujet et de se déterminer par rapport à celui-ci, si bien que son droit d'être entendu a également été respecté. Dans cette mesure, force est de conclure à la recevabilité du mémoire de l'appelant, avec les précisions que ce type de procédé doit demeurer l'exception et que la valeur probante dudit document se limite à celle du simple allégué d'une partie. 2.2.1. Conformément à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w:t>
      </w:r>
    </w:p>
    <w:p>
      <w:r>
        <w:t>- 22/40 - P/7252/2019 doit l'être, le juge dispose d'un pouvoir d'appréciation étendu (arrêts du Tribunal fédéral 6B_614/2012 du 15 février 2013 consid. 3.2.3 et 6B_484 2012 du 11 décembre 2012 consid. 1.2). L'autorité peut notamment refuser des preuves nouvelles qui ne sont pas nécessaires au traitement du recours, en particulier lorsqu'une administration anticipée non arbitraire de la preuve démontre que celle- 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 2.2.2. Les personnes dont l'audition a été sollicitée n'ont pas été directement témoins des faits reprochés à l'appelant. Elles n'ont travaillé ni avec ce dernier, ni avec F______, de sorte que leur audition n'apparaît ni utile ni pertinente sous l'angle des faits cités dans l'acte d'accusation, dont l'état de fait lie la CPAR et délimite le cadre des débats. L'appelant ne le conteste au demeurant pas puisqu'il invoque la nécessité de leur audition en lien avec les conditions dans lesquelles il a été mis un terme à leurs rapports de travail avec l'intimée, pour en tirer des conclusions sur celles qui ont prévalu la fin de ses propres rapports de travail, aspects qui ressortent du litige prud'homal et non de la procédure pénale. Pour ces motifs, cette question préjudicielle a été rejetée.</w:t>
      </w:r>
    </w:p>
    <w:p>
      <w:r>
        <w:rPr>
          <w:b/>
        </w:rPr>
        <w:t>E. 3</w:t>
      </w:r>
    </w:p>
    <w:p>
      <w:r>
        <w:t>3.1.1.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et 138 V 74 consid. 7).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w:t>
      </w:r>
    </w:p>
    <w:p>
      <w:r>
        <w:t>- 23/40 - P/7252/2019 Le juge du fait dispose d'un large pouvoir dans l'appréciation des preuves (ATF 120 Ia 31 consid. 4b). Confronté à des versions contradictoires, le juge forge sa conviction sur la base d'un ensemble d'éléments ou d'indices convergents. L'appréciation des preuves doit être examinée dans son ensemble et l'état de fait déduit du rapprochement de divers éléments ou indices (arrêt du Tribunal fédéral 6B_623/2012 du 6 février 2013 consid. 2.1). 3.1.2.1. L'art. 156 CP punit celui qui, dans le dessein de se procurer ou de procurer à un tiers un enrichissement illégitime, aura déterminé une personne à des actes préjudiciables à ses intérêts pécuniaires ou à ceux d'un tiers, en usant de violence ou en la menaçant d'un dommage sérieux. 3.1.2.2. La menace d'un dommage sérieux est un moyen de pression psychologique. L'auteur doit faire craindre à la victime un inconvénient, dont l'arrivée paraît dépendre de sa volonté (ATF 122 IV 322 consid. 1a). Il importe peu qu'en réalité l'auteur ne puisse pas influencer la survenance de l'événement préjudiciable (ATF 106 IV 125 consid. 1a) ou qu'il n'ait pas l'intention de mettre sa menace à exécution (ATF 122 IV 322 consid. 1a). La menace peut être expresse ou tacite et être signifiée par n'importe quel moyen. Le dommage évoqué peut toucher n'importe quel intérêt juridiquement protégé (arrêt du Tribunal fédéral 6S.277/2003 du 23 septembre 2003 consid. 2.1). Il faut toutefois qu'il soit sérieux, c'est-à-dire que la perspective de l'inconvénient soit propre, pour un destinataire raisonnable, à l'amener à adopter un comportement qu'il n'aurait pas eu s'il avait eu toute sa liberté de décision ; le caractère sérieux du dommage doit être évalué en fonction de critères objectifs et non pas d'après les réactions du destinataire (ATF 122 IV 322 consid. 1a ; arrêt du Tribunal fédéral 6B_275/2016 du 9 décembre 2016 consid. 4.2.1). 3.1.2.3. L'extorsion suppose un lien de causalité entre ces divers éléments. Autrement dit, l'usage de la contrainte doit avoir été la cause de l'acte préjudiciable aux intérêts pécuniaires, lequel doit être la cause du dommage (arrêt du Tribunal fédéral 6B_275/2016 du 9 décembre 2016 consid. 4.2.4). 3.1.2.4. Sur le plan subjectif, il faut que l'auteur ait agi intentionnellement, le dol éventuel étant suffisant, et dans le dessein de se procurer ou de procurer à un tiers un enrichissement illégitime (arrêt du Tribunal fédéral 6B_275/2016 du 9 décembre 2016 consid. 4.2.5). 3.1.3. Le juge peut atténuer la peine si l'exécution d'un crime ou d'un délit n'est pas poursuivie jusqu'à son terme ou que le résultat nécessaire à la consommation de l'infraction ne se produit pas ou ne pouvait pas se produire (art. 22 al. 1 CP). 3.1.4.1. Aux termes de l'art. 173 CP, se rend coupable de diffamation celui qui, en s'adressant à un tiers, aura accusé une personne ou jeté sur elle le soupçon de tenir une conduite contraire à l'honneur, ou de tout autre fait propre à porter atteinte à</w:t>
      </w:r>
    </w:p>
    <w:p>
      <w:r>
        <w:t>- 24/40 - P/7252/2019 sa considération, celui qui aura propagé une telle accusation ou un tel soupçon (ch. 1) ; l'inculpé n'encourra aucune peine s'il prouve que les allégations qu'il a articulées ou propagées sont conformes à la vérité ou qu'il avait des raisons sérieuses de les tenir de bonne foi pour vraies (ch. 2) ;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3.1.4.2. Cette disposition protège la réputation d'être un individu honorable, c'est- 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154 IV 462 consid. 4.2 ; 137 IV 313 consid. 2.1.1 ;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145 IV 462 consid. 4.2.2 ; 119 IV 44 consid. 2a ;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148 IV 409 consid. 2.3 ; 145 IV 462 consid. 4.2.2 ; arrêt du Tribunal fédéral 6B_15/2021 du 12 novembre 2021 consid. 2.1.2). La diffamation s'insère parmi les infractions contre l'honneur dont jouit non seulement toute personne physique, mais toute personne morale ou entité capable d'ester en justice, à l'exception des collectivités publiques et des autorités (ATF 114 IV 14 consid. 2a). Une personne morale est atteinte dans son honneur, lorsqu'il est allégué qu'elle a une activité ou un but propre à la rendre méprisable selon les conceptions morales généralement admises (cf. par analogie : ATF 117 IV 27 consid. 2c ; 116 IV 205 consid. 2). Une personne morale est également atteinte dans son honneur lorsqu'on la dénigre elle-même, en évoquant le comportement méprisable de ses organes ou employés (arrêt du Tribunal fédéral 6B_1020/2018 du 1er juillet 2019 consid. 5.1.1).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148 IV 409 consid. 2.3.2 ; 145 IV 462 consid. 4.2.3 ; 173 IV 313 consid. 2.1.3). Aussi, il est constant qu'en matière</w:t>
      </w:r>
    </w:p>
    <w:p>
      <w:r>
        <w:t>- 25/40 - P/7252/2019 d'infractions contre l'honneur, les mêmes termes n'ont pas nécessairement la même portée suivant le contexte dans lequel ils sont employés (ATF 148 IV 409 consid. 2.3.2 ; 145 IV 462 consid. 4.2.3 ; 118 IV 248 consid. 2b). Pour qu'il y ait diffamation,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 arrêt du Tribunal fédéral 6B_479/2022 du 9 février 2023 consid. 5.1.1). 3.1.4.3. Du point de vue subjectif, il suffit que l'auteur ait eu conscience du caractère attentatoire à l'honneur de ses propos et qu'il les ait néanmoins proférés ; il n'est pas nécessaire qu'il ait eu la volonté de blesser la personne visée (ATF 137 IV 313 consid. 2.1.6 ; arrêt du Tribunal fédéral 6B_479/2022 précité consid. 5.1.1). 3.1.4.4. Les conditions énoncées à l'art. 173 ch. 3 CP doivent être interprétées de manière restrictive. En principe, le prévenu doit être admis à faire les preuves libératoires et ce n'est qu'exceptionnellement que cette possibilité doit lui être refusée.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(ATF 132 IV 112 consid. 3.1 ; ATF 116 IV 31 consid. 3 ; arrêt du Tribunal fédéral 6B_25/2013 du</w:t>
      </w:r>
    </w:p>
    <w:p>
      <w:r>
        <w:rPr>
          <w:b/>
        </w:rPr>
        <w:t>E. 4</w:t>
      </w:r>
    </w:p>
    <w:p>
      <w:r>
        <w:t>4.1.1. L'extorsion et chantage au sens de l'art. 156 ch. 1 CP est punissable d'une peine privative de liberté de cinq ans au plus ou d'une peine pécuniaire, tandis que la diffamation (art. 173 ch. 1 CP) est réprimée par une peine pécuniaire. 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- 33/40 - P/7252/2019</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4.1.3. Les principes de l'art. 47 CP valent aussi pour le choix entre plusieurs sanctions possibles et non seulement pour la détermination de la durée de celle qui est prononcée. Que ce soit par son genre ou sa quotité, la peine doit être adaptée à la culpabilité de l'auteur.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4.1.4. La durée de la peine privative de liberté est en règle générale de trois jours au moins et de 20 ans au plus (art. 40 CP). 4.1.5. 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w:t>
      </w:r>
    </w:p>
    <w:p>
      <w:r>
        <w:t>- 34/40 - P/7252/2019 Selon l'art. 34 al. 2 2ème phr. CP, le juge fixe le montant du jour-amende selon la situation personnelle et économique de l'auteur au moment du jugement, notamment en tenant compte de son revenu et de sa fortune, de son mode de vie, de ses obligations d'assistance, en particulier familiales, et du minimum vital. Le juge dispose d'un large pouvoir d'appréciation lui permettant de procéder à une estimation du montant du jour-amende en fonction des informations dont il dispose (arrêts du Tribunal fédéral 6B_133/2018 du 27 juillet 2018 consid. 3.1 ; 6B_568/2012 du 16 novembre 2012 consid. 2.1). 4.1.6. Aux termes de l'art. 51 CP, le juge impute sur la peine la détention avant jugement subie par l'auteur dans le cadre de l'affaire qui vient d'être jugée ou d'une autre procédure. Un jour de détention correspond à un jour-amende. La méthode de calcul est imposée par le législateur (arrêts du Tribunal fédéral 6B_389/2018 du 6 septembre 2018 consid. 1.1 ; 6B_671/2016 du 17 mai 2017 consid. 1.3).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 arrêt du Tribunal fédéral 6B_352/2018 du 27 juillet 2018 consid. 5.1). 4.2.1. La faute de l'appelant est conséquente. En menaçant l'intimée d'un dommage sérieux, il a tenté de s'en prendre à son patrimoine et, faute d'être parvenu à ses fins, il a terni sa réputation auprès de l'un de ses plus importants clients, en jetant sur elle le soupçon d'adopter des comportements pénalement répréhensibles, accusations qui ont pour partie conduit l'intéressé à résilier le mandat de gestion qu'il lui avait confié. Si la période pénale est relativement brève, force est de constater, à l'aune des documents produits par l'appelant, auxquels il n'aurait pas dû avoir accès, qu'il s'agissait d'une stratégie mise en place depuis plusieurs mois déjà. Sa faute en est d'autant plus importante. Il y a cumul d'infractions punissables de peines de genre différent. L'appelant a agi pour des mobiles égoïstes, par appât d'un gain facile, mais aussi sans doute pour se faire justice par rapport à ce qu'il considérait comme injuste, soit son remplacement par K______ et l'absence de reconnaissance de ses qualités professionnelles. Rien dans la situation personnelle de l'appelant n'explique ni ne justifie son comportement et il lui aurait été loisible d'agir autrement. La collaboration de l'appelant a été plutôt bonne, dès lors qu'il s'est expliqué longuement sur les faits reprochés.</w:t>
      </w:r>
    </w:p>
    <w:p>
      <w:r>
        <w:t>- 35/40 - P/7252/2019 En revanche, sa prise de conscience de la gravité de ses agissements est nulle. Il persiste à contester toute responsabilité pénale, à accuser l'intimée de comportements contraires au droit et n'a présenté aucune excuse. Le prévenu est sans antécédent, facteur neutre dans la fixation de la peine. Il sera toutefois tenu compte de ce que l'infraction la plus grave, soit celle d'extorsion et de chantage, en est restée au stade de la tentative, même si l'absence de résultat est exclusivement dû à l'attitude de l'intimée, qui n'a pas cédé aux pressions de l'appelant, et est donc indépendant du comportement de ce dernier. 4.2.2. Vu ce qui précède, l'appelant sera condamné à une peine privative de liberté de sept mois s'agissant de la tentative d'extorsion, étant précisé qu'une peine privative de liberté de 10 mois aurait été adéquate si l'infraction avait été consommée. La diffamation sera sanctionnée d'une peine pécuniaire de 30 jours-amende, qui apparaît proportionnée à la faute de l'appelant, s'agissant d'un acte unique. L'appelant n'a pas souhaité communiqué le montant de son salaire actuel. Il est permis de penser qu'au vu du profil de la société qui l'emploie, il réalise un revenu sensiblement identique à celui qui était le sien au sein de l'intimée. Son épouse travaille également à plein temps. Ils sont propriétaires du logement qu'ils occupent, grevé d'une lourde hypothèque, et ont deux enfants mineurs à charge. Au vu de ces éléments, il sied de fixer le montant du jour-amende à CHF 150.-. 4.2.3. Le premier juge a omis d'imputer sur la peine la détention avant jugement subie, d'un jour, ce qu'il convient de rectifier. Il n'y a en revanche pas lieu de procéder à une imputation, dans une juste proportion, des mesures de substitution, celles-ci n'ayant porté qu'une atteinte très modérée à la liberté personnelle de l'appelant. 4.2.4. L'appelant n'a aucun antécédent judiciaire et le principe du sursis lui est acquis.</w:t>
      </w:r>
    </w:p>
    <w:p>
      <w:r>
        <w:rPr>
          <w:b/>
        </w:rPr>
        <w:t>E. 5</w:t>
      </w:r>
    </w:p>
    <w:p>
      <w:r>
        <w:t>Les mesures de confiscation, respectivement de restitution, ainsi que le renvoi de l'intimée à agir par la voie civile n'ayant pas été remis en cause en appel, le jugement de première instance sera confirmé sur ces points.</w:t>
      </w:r>
    </w:p>
    <w:p>
      <w:r>
        <w:rPr>
          <w:b/>
        </w:rPr>
        <w:t>E. 6.1</w:t>
      </w:r>
    </w:p>
    <w:p>
      <w:r>
        <w:t>L'appelant, qui succombe dans l'ensemble des griefs soulevés en appel, supportera la totalité des frais de la procédure envers l'État (art. 428 CPP), qui comprennent un émolument de décision de CHF 3'000.-.</w:t>
      </w:r>
    </w:p>
    <w:p>
      <w:r>
        <w:rPr>
          <w:b/>
        </w:rPr>
        <w:t>E. 6.2</w:t>
      </w:r>
    </w:p>
    <w:p>
      <w:r>
        <w:t>La répartition des frais de première instance, telle qu'elle résulte du jugement entrepris, ne sera pas modifiée au vu de la confirmation de la culpabilité du prévenu,</w:t>
      </w:r>
    </w:p>
    <w:p>
      <w:r>
        <w:t>- 36/40 - P/7252/2019 le changement de qualification juridique étant sans incidence à cet égard vu l'accusation subsidiaire contenue dans l'acte d'accusation (art. 428 al. 3 CPP).</w:t>
      </w:r>
    </w:p>
    <w:p>
      <w:r>
        <w:rPr>
          <w:b/>
        </w:rPr>
        <w:t>E. 6.3</w:t>
      </w:r>
    </w:p>
    <w:p>
      <w:r>
        <w:t>Compte tenu de ce qui précède, il n'y a pas lieu à l'octroi d'une quelconque indemnité fondée sur l'art. 429 CPP.</w:t>
      </w:r>
    </w:p>
    <w:p>
      <w:r>
        <w:rPr>
          <w:b/>
        </w:rPr>
        <w:t>E. 7</w:t>
      </w:r>
    </w:p>
    <w:p>
      <w:r>
        <w:t>7.1.1. Aux termes de l'art. 433 al. 1 CPP, la partie plaignante peut demander au prévenu une juste indemnité pour les dépenses obligatoires occasionnées par la procédure lorsqu'elle obtient gain de cause (let. a) ou lorsque le prévenu est astreint au paiement des frais conformément à l'art. 426 al. 2 CPP (let. b). Cette indemnité doit être mise à la charge du prévenu, non de l'État (AARP/291/2021 du 13 septembre 2021 consid. 8.1.3). La partie plaignante a obtenu gain de cause au sens de cette norme lorsque le prévenu a été condamné et/ou si les prétentions civiles ont été admises, à tout le moins partiellement (AARP/180/2021 du 29 juin 2021 consid. 8.8.1). L'art. 433 CPP est applicable en instance de recours (art. 436 al. 1 CPP). Les prétentions en indemnité dans les procédures de recours doivent être fixées séparément pour chaque phase de la procédure, indépendamment de la procédure de première instance. Le résultat de la procédure de recours est déterminant (ATF 142 IV 163 consid. 3.2.2 ; arrêt du Tribunal fédéral 6B_1360/2016 du</w:t>
      </w:r>
    </w:p>
    <w:p>
      <w:r>
        <w:rPr>
          <w:b/>
        </w:rPr>
        <w:t>E. 10</w:t>
      </w:r>
    </w:p>
    <w:p>
      <w:r>
        <w:t>novembre 2017 consid. 3.2). 7.1.2. La juste indemnité couvre les dépenses et les frais nécessaires pour faire valoir le point de vue de la partie plaignante dans la procédure pénale. Les démarches superflues, abusives ou excessives ne sont pas indemnisées (ATF 115 IV 156 consid. 2d).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2e éd., Bâle 2014, N 19 ad art. 429). L'indemnité couvre en particulier les honoraires d'avocat, à condition que le recours à celui-ci procède d'un exercice raisonnable des droits de procédure.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À la lumière de ces principes, il y a lieu de retenir que l'autorité pénale amenée à fixer une indemnité n'a pas à avaliser purement et simplement les notes d'honoraires d'avocats qui lui sont soumises : elle doit, au contraire, examiner, tout d'abord, si</w:t>
      </w:r>
    </w:p>
    <w:p>
      <w:r>
        <w:t>- 37/40 - P/7252/2019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 La maxime de disposition s'applique s'agissant de sommes incombant au prévenu en vertu de l'art. 433 CPP, l'autorité pénale n'ayant pas à les examiner d'office (arrêt du Tribunal fédéral 6B_965/2013 du 3 décembre 2013 consid. 3.3.3 ; arrêt de la Cour de justice AARP/291/2021 du 13 septembre 2021 consid. 8.1.3). 7.2.1. En l'occurrence, le principe de la couverture des dépenses de la plaignante pour ses frais de défense dans la procédure d'appel est acquis et le tarif horaire appliqué, de CHF 450.-, est adéquat.</w:t>
      </w:r>
    </w:p>
    <w:p>
      <w:r>
        <w:t>Cela étant, le temps consacré à la préparation des débats d'appel, totalisant 13h30, apparaît excessif s'agissant d'un dossier connu et sensé être maîtrisé par le conseil de l'intimée, pour avoir été suivi devant le MP et plaidé en première instance. Il y a ainsi lieu de réduire ce poste à cinq heures d'activité.</w:t>
      </w:r>
    </w:p>
    <w:p>
      <w:r>
        <w:t>À l'inverse, l'audience de jugement ayant duré quatre heures et 35 minutes, et non trois heures comme estimé par le conseil de l'intimée, il y a lieu d'augmenter son activité d'une heure et 35 minutes.</w:t>
      </w:r>
    </w:p>
    <w:p>
      <w:r>
        <w:t>Quant aux CHF 400.- de frais administratifs, ils ne sont pas justifiés par pièces et semblent correspondre à un forfait général, de sorte qu'il n'y a pas lieu de les indemniser.</w:t>
      </w:r>
    </w:p>
    <w:p>
      <w:r>
        <w:t>L'indemnisation accordée à la plaignante pour ses frais de défense dans la procédure d'appel sera dès lors arrêtée en totalité à CHF 16'031.70, correspondant à 33 heures et 5 minutes d'activité au tarif horaire de CHF 450.- (CHF 14'885.50), augmenté de la TVA à 7.7 % en CHF 1'146.20, indemnité mise à la charge de l'appelant. 7.2.2. Non contestée en appel dans sa quotité, l'indemnité octroyée à l'intimée pour ses frais de défense pour la procédure préliminaire et de première instance ne sera pas revue.</w:t>
      </w:r>
    </w:p>
    <w:p>
      <w:r>
        <w:t>* * * * *</w:t>
      </w:r>
    </w:p>
    <w:p>
      <w:r>
        <w:t>- 38/40 - P/7252/2019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