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AARP/332/2025 vom 8. September 2025</w:t>
      </w:r>
    </w:p>
    <w:p>
      <w:r>
        <w:t>GE Cour de justice, 2025-09-08, FR</w:t>
      </w:r>
    </w:p>
    <w:p>
      <w:r>
        <w:rPr>
          <w:b/>
        </w:rPr>
        <w:t xml:space="preserve">Quelle: </w:t>
      </w:r>
      <w:r>
        <w:t>https://mcp.opencaselaw.ch/entscheid/ge_gerichte_AARP_332_2025</w:t>
      </w:r>
    </w:p>
    <w:p>
      <w:r>
        <w:t>FR: GE_GERICHTE AARP/332/2025 du 8 septembre 2025</w:t>
      </w:r>
    </w:p>
    <w:p>
      <w:r>
        <w:t>IT: GE_GERICHTE AARP/332/2025 del 8 settembre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70 CPP, le tribunal peut restreindre partiellement la publicité de l'audience ou ordonner le huis clos : a. si la sécurité publique et l'ordre public ou les intérêts dignes de protection d'une personne participant à la procédure, notamment ceux de la victime, l'exigent ; b. en cas de forte affluence (al. 1).</w:t>
      </w:r>
    </w:p>
    <w:p>
      <w:r>
        <w:t>Ancré à l'art. 30 al. 3 de la Constitution fédérale (Cst.) et à l'art. 6 de la Convention de sauvegarde des droits de l'homme et des libertés fondamentales (CEDH), le principe de la publicité de la justice revêt une importance cardinale dans une société démocratique et respectueuse des garanties de l'Etat de droit. La publicité de la procédure des organes judiciaires protège les justiciables contre une justice secrète échappant au contrôle du public. Elle constitue aussi l'un des moyens de préserver la</w:t>
      </w:r>
    </w:p>
    <w:p>
      <w:r>
        <w:t>- 11/25 - P/16518/2022 confiance dans les cours et tribunaux. Par la transparence qu'elle donne à l'administration de la justice, elle aide à réaliser le but de l'art. 6 par. 1 CEDH : le procès équitable, dont la garantie compte parmi les principes de toute société démocratique. L'obligation de tenir une audience publique n'est toutefois pas absolue et l'art.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Des procédures consacrées exclusivement à des points de droit ou hautement techniques peuvent également remplir les conditions de l'art. 6 CEDH même en l'absence de débats publics (arrêt du Tribunal fédéral 6B_520/2016 du 18 mai 2017, consid. 3.2, et la jurisprudence citée).</w:t>
      </w:r>
    </w:p>
    <w:p>
      <w:r>
        <w:rPr>
          <w:b/>
        </w:rPr>
        <w:t>E. 2.2</w:t>
      </w:r>
    </w:p>
    <w:p>
      <w:r>
        <w:t>En l'espèce, l'intimé a sollicité le prononcé du huis-clos en se prévalant d'un risque d'atteinte à l'ordre public. Le risque évoqué est toutefois d'une nature relative et relève en réalité de l'exercice de la police d'audience. L'intimé n'a notamment et à raison pas fait valoir un quelconque intérêt légitime à la restriction de la publicité. En l'occurrence, la CPAR est à même d'assurer la police de l'audience et il n'est pas nécessaire de prononcer le huis-clos pour garantir la sérénité des débats. Il peut au surplus être relevé que le public aux débats d'appel était clairsemé.</w:t>
      </w:r>
    </w:p>
    <w:p>
      <w:r>
        <w:t>La demande de huis-clos de l'intimé a dès lors été rejetée.</w:t>
      </w:r>
    </w:p>
    <w:p>
      <w:r>
        <w:rPr>
          <w:b/>
        </w:rPr>
        <w:t>E. 3.1</w:t>
      </w:r>
    </w:p>
    <w:p>
      <w:r>
        <w:t>À teneur de l'art. 123 ch. 1 CP, quiconque, intentionnellement, fait subir à une personne une autre atteinte à l'intégrité corporelle ou à la santé est puni sur plainte d'une peine privative de liberté de trois ans au plus ou d'une peine pécuniaire. L'auteur est poursuivi d'office s'il est le partenaire hétérosexuel ou homosexuel de la victime pour autant qu'ils fassent ménage commun pour une durée indéterminée et que l'atteinte soit commise durant cette période ou dans l'année qui suit la séparation (ch. 2 al. 6).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w:t>
      </w:r>
    </w:p>
    <w:p>
      <w:r>
        <w:t>- 12/25 - P/16518/2022 néanmoins être prises en considération. L'impact de l'atteinte ne sera pas nécessairement le même suivant l'âge de la victime, son état de santé, le cadre social dans lequel elle vit ou travaille, etc. (ATF 134 IV 189 consid. 1.4 ; arrêts du Tribunal fédéral 6B_1445/2020 du 28 juillet 2021 consid. 1.1 ; 6B_1064/2019 du 16 janvier 2020 consid. 2.2).</w:t>
      </w:r>
    </w:p>
    <w:p>
      <w:r>
        <w:rPr>
          <w:b/>
        </w:rPr>
        <w:t>E. 3.2</w:t>
      </w:r>
    </w:p>
    <w:p>
      <w:r>
        <w:t>L'art. 123 ch. 2 al. 6 CP vise une situation de concubinage qui crée une communauté domestique assimilable aux hypothèses des al. 4 (mariage) et</w:t>
      </w:r>
    </w:p>
    <w:p>
      <w:r>
        <w:rPr>
          <w:b/>
        </w:rPr>
        <w:t>E. 3.3</w:t>
      </w:r>
    </w:p>
    <w:p>
      <w:r>
        <w:t>Conformément à l'art. 122 CP, dans sa teneur en vigueur jusqu'au 30 juin 2023,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d’une peine privative de liberté de six mois à dix ans.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w:t>
      </w:r>
    </w:p>
    <w:p>
      <w:r>
        <w:t>- 13/25 - P/16518/2022 déterminer si ce résultat doit être qualifié de grave, afin de distinguer les hypothèses de l'art. 122 CP et celles de l'art. 123 CP (lésions corporelles simples). Dans tous les cas prévus par l'art. 122 CP,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(arrêts du Tribunal fédéral 6B_1333/2022 et 6B_1353/2022 du 2 octobre 2023 consid. 3.1). Les lésions corporelles graves au sens de l'art. 122 CP sont une notion juridique indéterminée soumise à interprétation. Le terme de mutilation recouvre – outre la perte ou la destruction totale d'une fonction du corps humain – également la sévère dégradation ou l'atteinte durable et irréversible d'un membre (ou d'un organe) mettant en cause son fonctionnement. Sont considérés comme des membres importants au sens de l'art. 122 al. 2 CP avant tout les extrémités, soit les bras et les jambes, ainsi que les mains et les pieds (M. NIGGLI / H. WIPRÄCHTIGER, Basler Kommentar Strafrecht II : Art. 111-392 StGB, 3ème édition, Bâle 2013, n. 11 ad vor art. 122 ; A. DONATSCH, Strafrecht III : Delikte gegen den Einzelnen, 9e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 arrêts du Tribunal fédéral 6B_405/2012 du 7 janvier 2013 consid. 3.2.1 et 6B_26/2011 du 20 juin 2011 consid. 2.4.1). La qualification juridique des lésions corporelles à la suite de coups de poing ou de pied dépend des circonstances concrètes du cas. Sont en particulier déterminantes la violence des coups portés et la constitution de la victime.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(arrêts du Tribunal fédéral 6B_148/2020 du 2 juillet 2020 consid. 5.2 ; 6B_139/2020 du 1er mai 2020 consid. 2.3). Une perte d'ouïe unilatérale durable de 85% a été qualifiée par la jurisprudence de lésion corporelle grave (arrêt du Tribunal fédéral 6B_1248/2017 du 21 février 2019). Selon la table 12 de la SUVA, relative à l'indemnisation des atteintes à l'intégrité en cas de perturbation de l'ouïe, un déficit unilatéral de l'ouïe ne constitue une atteinte à l'intégrité que s'il atteint 50% ; un déficit unilatéral quasi complet (90 à 100%) justifie une indemnité pour une atteinte à l'intégrité de 15%. Un déficit bilatéral complet justifie quant à lui une indemnité de 85%.</w:t>
      </w:r>
    </w:p>
    <w:p>
      <w:r>
        <w:rPr>
          <w:b/>
        </w:rPr>
        <w:t>E. 3.3.1</w:t>
      </w:r>
    </w:p>
    <w:p>
      <w:r>
        <w:t>En l'espèce, les premiers juges ont retenu, sans réellement interroger les parties à ce sujet, les déclarations constantes de la plaignante au terme desquelles la vie commune des parties avait débuté en mai 2022 seulement. Il ressort toutefois des</w:t>
      </w:r>
    </w:p>
    <w:p>
      <w:r>
        <w:t>- 14/25 - P/16518/2022 déclarations constantes du prévenu que les parties vivaient sous le même toit, en l'occurrence au domicile de la plaignante. C'est d'ailleurs en raison de cette cohabitation effective que le prévenu a pu exercer un contrôle contraignant sur la tenue vestimentaire, les fréquentations, la formation professionnelle et la vie de tous les jours de la partie plaignante, contrainte qu'il est difficile de concevoir en l'absence de relations étroites. Par ailleurs, les parties ont clairement mené une relation stable et exclusive, de durée indéterminée et se sont prêtées réciproquement assistance, la plaignante tenant de fait le ménage de son compagnon qui vivait chez elle. Les explications de l'appelante au sujet de sa crainte de mesures de rétorsion de l'Hospice général, données aux débats d'appel, sont crédibles et authentiques ; en effet, au vu de la relation décrite par les deux parties, il apparaissait saugrenu qu'elles ne fassent pas ménage commun. Certes, il ressort de la procédure que le prévenu n'a que peu contribué aux frais du ménage commun et ne possédait pas la clé de l'appartement. Ce dernier élément s'explique toutefois par la volonté de cacher sa présence à l'Hospice général, ce d'autant que la plaignante expose qu'elle se trouvait la plupart du temps à son domicile, et qu'il ressort des échanges entre les parties que lorsqu'elle n'y était pas la clé était laissée sous le paillasson. À cela s'ajoutent les termes utilisés par le prévenu, qui appelait régulièrement la plaignante "ma femme", la conception d'un enfant commun, qui ancre en principe une relation de couple dans une certaine durée, et les projets de mariage évoqués à tout le moins dès novembre 2021 entre les parties, qui confirment leur volonté de mener une vie de couple en partageant toit, table et lit. Le début de cette relation effective de concubinage est difficile à situer ; l'examen de la procédure de 2020 semble indiquer que les parties faisaient déjà ménage commun à cette époque, même si le prévenu a déclaré à cette occasion qu'elles ne le faisaient pas "officiellement". Il est aussi établi que les parties ont connu plusieurs séparations, dont l'une, de plusieurs mois, a pris fin en novembre 2021. En l'absence d'autres éléments relatifs à l'existence d'une véritable communauté de vie avant cette réconciliation, notamment en l'absence de toute mention d'un projet de mariage, et en application également du principe in dubio pro reo, la CPAR retient que le concubinage des parties a effectivement débuté en novembre 2021.</w:t>
      </w:r>
    </w:p>
    <w:p>
      <w:r>
        <w:rPr>
          <w:b/>
        </w:rPr>
        <w:t>E. 3.3.2</w:t>
      </w:r>
    </w:p>
    <w:p>
      <w:r>
        <w:t>C'est dès lors à tort que les premiers juges ont classé les lésions corporelles visées sous chiffres 1.5.5 et 1.5.6 de l'acte d'accusation, qui se sont produites à partir de février 2022. Ces faits sont établis par les déclarations constantes, crédibles et détaillées de l'appelante. Les faits du 6 avril 2022 (ch. 1.5.5) sont notamment établis par la consultation médicale évoquée par la plaignante dans ses échanges avec le prévenu (qui lui reproche d'avoir laissé un médecin homme l'examiner), et sont manifestement constitutifs de lésions corporelles simples, puisqu'ils ont occasionné des saignements vaginaux. Les faits du mois de février 2022 (ch. 1.5.6), également constitutifs de lésions corporelles simples (cf. saignement du nez) ressortent également des échanges entre les parties.</w:t>
      </w:r>
    </w:p>
    <w:p>
      <w:r>
        <w:t>- 15/25 - P/16518/2022</w:t>
      </w:r>
    </w:p>
    <w:p>
      <w:r>
        <w:rPr>
          <w:b/>
        </w:rPr>
        <w:t>E. 3.3.3</w:t>
      </w:r>
    </w:p>
    <w:p>
      <w:r>
        <w:t>En revanche, en l'absence de toute date pour les faits visés sous chiffres 1.5.3 et 1.5.4 de l'acte d'accusation, il n'est pas possible d'établir qu'ils se soient produits alors que les parties faisaient ménage commun ; leur classement sera confirmé.</w:t>
      </w:r>
    </w:p>
    <w:p>
      <w:r>
        <w:rPr>
          <w:b/>
        </w:rPr>
        <w:t>E. 3.3.4</w:t>
      </w:r>
    </w:p>
    <w:p>
      <w:r>
        <w:t>Enfin, les premiers juges ont écarté les faits visés sous chiffre 1.5.2 de l'acte d'accusation, retenant qu'ils s'étaient produits en-dehors du délai de plainte. Il ressort toutefois de la procédure qu'outre les trois épisodes d'étranglement et les lésions corporelles retenues ci-dessus ainsi que par le TCO, deux épisodes supplémentaires de violence sont clairement identifiés (aux alentours du 11 mars 2022 et aux alentours du 20-27 avril 2022, supra let B.g.b.). À cet égard, il n'est pas possible, faute de datation des images produites par la plaignante et au vu de son impossibilité de situer dans le temps les lésions qui figurent sur ces photos, de déterminer l'ampleur des lésions subies, ni de relier ces photos à l'un ou l'autre épisode. Cela étant, même sans laisser de traces sur le corps, des violences perpétrées par une personne avec laquelle la victime a des contacts aussi étroits, dans un climat de tension tel que celui qui régnait entre les parties, sont objectivement propres à générer un sentiment d'insécurité et de peur impliquant une souffrance psychique suffisamment importante pour diminuer le sentiment de bien-être de la victime considérablement et durablement, particulièrement lorsque, comme en l'espèce, elle est amenée à côtoyer régulièrement son agresseur dans des circonstances propices à la répétition d'actes du même genre (cf. arrêt du Tribunal fédéral 6B_1445/2020 du 28 juillet 2021 consid. 1.4) ; la qualification de lésions corporelles simples sera dès lors retenue pour les faits décrits sous chiffre 1.5.2. Les mêmes motifs commandent de retenir également cette qualification pour les épisodes de violence décrits sous chiffres 1.5.7 et 1.5.8 de l'acte d'accusation, qualifiés par les premiers juges de voies de fait.</w:t>
      </w:r>
    </w:p>
    <w:p>
      <w:r>
        <w:rPr>
          <w:b/>
        </w:rPr>
        <w:t>E. 3.4</w:t>
      </w:r>
    </w:p>
    <w:p>
      <w:r>
        <w:t>En ce qui concerne les voies de fait visées au chiffre 1.8.1 de l'acte d'accusation, faute de tout élément spécifique, permettant notamment de distinguer les épisodes de saisie au cou des faits établis et qualifiés de lésions corporelles simples, leur classement sera confirmé.</w:t>
      </w:r>
    </w:p>
    <w:p>
      <w:r>
        <w:rPr>
          <w:b/>
        </w:rPr>
        <w:t>E. 3.5</w:t>
      </w:r>
    </w:p>
    <w:p>
      <w:r>
        <w:t>La partie plaignante n'a fourni, en lien avec la gifle reçue le 28 juillet 2019, qu'un certificat médical attestant d'une lésion au tympan gauche. Le prévenu admet pour sa part la gifle donnée à cette occasion, sans remettre en cause les allégations de diminution de l'ouïe, qu'il affirme avoir ignorée. Cette diminution de la capacité auditive de la plaignante n'est toutefois pas objectivée et semble au contraire s'être améliorée. Rien ne permet de quantifier les séquelles de cette lésion et notamment le degré de la perte auditive, étant relevé qu'à teneur de la jurisprudence et des directives de la SUVA évoquées ci-dessus, seule une perte quasi-complète de la capacité auditive d'une oreille pourrait être qualifiée de lésion grave.</w:t>
      </w:r>
    </w:p>
    <w:p>
      <w:r>
        <w:t>- 16/25 - P/16518/2022 En l'absence de toute preuve du caractère durable des lésions subies, le MP n'a pas apporté la preuve de la survenance d'une lésion corporelle grave au sens de l'art. 122 CP. Compte tenu de la lésion constatée du tympan – en lien de causalité naturelle et adéquate avec le coup porté par l'intimé – les faits doivent être qualifiés de lésions corporelles simples. Les parties ne faisant, au moment des faits, pas durablement ménage commun, c'est un classement qui aurait dû être prononcé, faute de plainte formée en temps utile. En effet, la requalification de faits ne justifie pas le prononcé d'un acquittement.</w:t>
      </w:r>
    </w:p>
    <w:p>
      <w:r>
        <w:rPr>
          <w:b/>
        </w:rPr>
        <w:t>E. 3.6</w:t>
      </w:r>
    </w:p>
    <w:p>
      <w:r>
        <w:t>En définitive, les appels doivent être partiellement admis et le verdict de culpabilité des premiers juges aggravé de cinq chefs supplémentaires de lésions corporelles simples, dont deux se substituent au verdict de voies de fait, lequel ne vaut dès lors plus que pour les faits décrits sous chiffres 1.8.2 et 1.8.3 de l'acte d'accusation.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- 17/25 - P/16518/2022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 4.3. En l'espèce, la faute du prévenu est extrêmement lourde. À trois reprises, il a sciemment mis en danger la vie de sa compagne enceinte en l'étranglant et il l'a frappée de façon répétée, pendant une longue période, quasiment dès le début de leur vie commune. Il l'a soumise à une contrainte constante et à un contrôle de tous les aspects de sa vie, de façon particulièrement envahissante et abjecte, la couvrant d'injures et de menaces et la poussant au désespoir jusqu'à vouloir s'enlever la vie. Il n'a fait montre que d'un repentir de façade et, plusieurs mois après le premier jugement, ses regrets restent essentiellement tournés vers sa personne (cf. "bâtons dans les roues"), sans aucun égard pour les difficultés persistantes de la partie plaignante. Il n'exprime des</w:t>
      </w:r>
    </w:p>
    <w:p>
      <w:r>
        <w:t>- 18/25 - P/16518/2022 regrets que pour les propos injurieux tenus à l'égard de la plaignante. Son discours, y compris celui qu'il a tenu au thérapeute qui l'a suivi pendant les mesures de substitution, reporte en effet essentiellement la faute sur la partie plaignante, sans prendre la mesure de sa responsabilité dans la spirale de violence qu'il a déchaînée à son encontre. Il n'assume pas non plus ses responsabilités, ne serait-ce que financières, à l'égard de son fils. La CPAR ne peut qu'être frappée du fait qu'il a acquis et financé un bien immobilier pendant la vie commune avec la partie plaignante, en contribuant de façon minimale à leur ménage, ce qui lui permet aujourd'hui de vivre dans cet appartement, avec une nouvelle compagne et un enfant, sans avoir versé la moindre indemnité à sa victime ni subvenir aux besoins de son fils, âgé aujourd'hui de près de trois ans. Les mobiles de l'intimé tiennent de l'égoïsme, de la jalousie, du contrôle et d'une tyrannie possessive et dominatrice. Il sera néanmoins tenu compte du fait que le prévenu n'a pas formé appel, ni appel joint, du jugement, ce qui démontre une ébauche de prise de conscience et de reconnaissance de sa responsabilité, même s'il semble encore, à ce jour, incapable de mesurer l'ampleur de sa faute. Il exerce également une activité lucrative stable et subvient ainsi aux besoins de sa nouvelle famille, qui dépend de lui, même si l'expulsion prononcée à son encontre mettra prochainement un terme à cette occupation. L'infraction objectivement la plus grave est la mise en danger de la vie, passible, pour chaque épisode, d'une peine privative de liberté d'une année. La peine de base d'une année, pour la fixation de la peine d'ensemble, doit ainsi être aggravée d'une année supplémentaire (deux fois six mois). Cette peine doit encore être aggravée de quatre mois (peine théorique de huit mois, au vu notamment de la longue période pénale) pour les contraintes visées aux chiffres 1.1 et 1.2 de l'acte d'accusation, qui forment un tout, et à chaque fois d'un mois et demi pour les sept occurrences de lésions corporelles simples (peine théorique de trois mois), ce qui porte la peine d'ensemble à 38 mois et demi. Les menaces retenues par les premiers juges aggravent cette peine d'un demi mois (peine théorique d'un mois), pour une peine d'ensemble de 39 mois. Lorsque la peine entrant en considération excède de peu la limite au-delà de laquelle le sursis ou le sursis partiel ne peut plus être octroyé, le juge doit examiner, sous l'angle de la prévention spéciale, si une peine encore compatible avec le sursis n’est pas néanmoins suffisante pour détourner l'intéressé de commettre de nouvelles infractions (ATF 118 IV 337 consid. 2c p. 339-340). Les conditions objectives pour mettre le prévenu au bénéfice d'un sursis (art. 42 al. 2 et 3 CP) sont réalisées, mais la quotité de la peine établie ci-dessus en excède la quotité, y-compris du sursis partiel (art. 43 al. 1 CP). Sur le plan subjectif, et bien qu'il s'agisse d'un cas limite au vu de la répétition des infractions et de la prise de conscience à peine amorcée, la CPAR veut toutefois croire que le bénéfice d'un sursis partiel, ainsi que la</w:t>
      </w:r>
    </w:p>
    <w:p>
      <w:r>
        <w:t>- 19/25 - P/16518/2022 bonne insertion socio-professionnelle du prévenu et ses nouvelles obligations familiales, seront de nature à le détourner de commettre de nouvelles infractions. Dans ces conditions, il se justifie de ramener la peine d'ensemble à trois ans et le prévenu sera donc mis au bénéfice du sursis partiel. La partie ferme sera fixée à 12 mois, afin de sanctionner adéquatement la gravité des faits commis, mais aussi de ne pas désocialiser complètement le prévenu et de tenir compte de l'amendement entamé par l'acceptation du verdict des premiers juges. Le solde sera assorti du sursis et d'un délai d'épreuve correspondant à la durée maximale prévue par la loi, soit cinq ans, de nature à dissuader le prévenu de récidiver ses actes violents. La détention préventive subie ainsi que les mesures de substitution suivies jusqu'au jugement de première instance seront déduites. Dans la mesure où, nonobstant leur prorogation, l'intimé ne s'est pas astreint aux mesures de substitution durant la procédure d'appel, aucune déduction supplémentaire ne sera effectuée à ce titre, et ces mesures seront levées. 4.4. Le MP ayant renoncé à son appel sur ce point, la peine pécuniaire de 40 jours- amende à CHF 50.- prononcée par le TCO pour les injures sera confirmée, tout comme l'absence de révocation du sursis accordé par le MP le 14 août 2020. En l'absence d'appel sur ce point, le délai d'épreuve de trois ans pour le sursis qui assortit cette peine sera confirmé. 4.5. Les premiers juges ont infligé au prévenu une amende de CHF 1'200.- pour les voies de fait. Nonobstant l'absence d'appel du prévenu sur ce point, dans la mesure où la Cour de céans a requalifié certaines voies de fait en délit, cette amende doit être réduite pour être adaptée au nombre d'infractions finalement retenu. L'amende sera donc ramenée à CHF 750.- pour les deux occurrences de voies de fait encore retenues (ch. 1.8.1 et 1.8.2 de l'acte d'accusation), correspondant à une amende de CHF 500.- pour chaque épisode, réduite en vertu du principe de l'aggravation qui s'applique également aux contraventions (art.104 CP).</w:t>
      </w:r>
    </w:p>
    <w:p>
      <w:r>
        <w:rPr>
          <w:b/>
        </w:rPr>
        <w:t>E. 5</w:t>
      </w:r>
    </w:p>
    <w:p>
      <w:r>
        <w:t>À raison, le prévenu ne remet pas en cause le prononcé de l'expulsion qui est obligatoire (art. 66a al. 1 let. b CP), ni celui d'une interdiction de contact avec la plaignante (art. 67b al. 1 et 2 CP). Ces mesures seront dès lors confirmées.</w:t>
      </w:r>
    </w:p>
    <w:p>
      <w:r>
        <w:rPr>
          <w:b/>
        </w:rPr>
        <w:t>E. 6</w:t>
      </w:r>
    </w:p>
    <w:p>
      <w:r>
        <w:t>Le conseil de l'appelante a conclu, aux débats d'appel, à l'octroi d'une indemnité plus importante que celle accordée par les premiers juges. Faute d'avoir été formulée dans sa déclaration d'appel, cette conclusion est irrecevable pour cause de tardiveté (art. 399 al. 3 let. b et al. 4 let. d CPP, a contrario). Au surplus, la condamnation de l'intimé à verser une indemnité pour tort moral de CHF 8'000.- à la partie plaignante sera confirmée.</w:t>
      </w:r>
    </w:p>
    <w:p>
      <w:r>
        <w:rPr>
          <w:b/>
        </w:rPr>
        <w:t>E. 7</w:t>
      </w:r>
    </w:p>
    <w:p>
      <w:r>
        <w:t>Les appels ayant été pour l'essentiel admis, les frais de la procédure d'appel seront mis, à raison des deux tiers, à charge de l'intimé et le solde laissé à la charge de l'État.</w:t>
      </w:r>
    </w:p>
    <w:p>
      <w:r>
        <w:t>- 20/25 - P/16518/2022 Il n'y a pas lieu de revenir sur la répartition des frais de première instance.</w:t>
      </w:r>
    </w:p>
    <w:p>
      <w:r>
        <w:rPr>
          <w:b/>
        </w:rPr>
        <w:t>E. 8.1</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 décision sur les frais préjuge en principe de la question de l'indemnisation (ATF 147 IV 47 consid. 4.1 ; 145 IV 94 consid. 2.3.2). La preuve de l'existence du dommage, son ampleur et sa relation de causalité adéquate avec la poursuite pénale introduite à tort incombent au requérant (ATF 135 IV 43 consid. 4.1 ; arrêt du Tribunal fédéral 6B_596/2007 du 11 mars 2008 consid. 2.2). Son défenseur doit donc produire une liste d'opérations comportant le temps consacré et le montant de ses honoraires.</w:t>
      </w:r>
    </w:p>
    <w:p>
      <w:r>
        <w:rPr>
          <w:b/>
        </w:rPr>
        <w:t>E. 8.2</w:t>
      </w:r>
    </w:p>
    <w:p>
      <w:r>
        <w:t>L'indemnité doit correspondre au tarif usuel du barreau applicable dans le canton où la procédure se déroule et englober la totalité des coûts de défense (ATF 142 IV 163 consid. 3 p. 162 ss). La Cour de justice applique au chef d'étude un tarif horaire de CHF 450.- au plus, et un tarif inférieur si l'avocat concerné avait lui- même calculé sa prétention à ce taux-là (ACPR/377/2013 du 13 août 2013). Elle retient un taux horaire d'au plus CHF 350.- pour les collaborateurs (AARP/65/2017 du 23 février 2017) et d'au plus CHF 150.- pour les avocats stagiaires (ACPR/187/2017 du 22 mars 2017 consid 3.2 ; AARP/65/2017 du 23 février 2017). L'avocat mandaté par un client domicilié à l'étranger ne peut pas facturer de montant au titre de la TVA (ATF 141 IV 344, a contrario). Le recours à plusieurs avocats peut, en cas de procédure volumineuse et complexe, procéder d'un exercice raisonnable des droits de procédure (ATF 138 IV 191 consid. 2.3.5 ; arrêt du Tribunal fédéral 6B_875/2013 du 7 avril 2014 consid. 4.3 et 4.5 = SJ 2014 I 424-425).</w:t>
      </w:r>
    </w:p>
    <w:p>
      <w:r>
        <w:rPr>
          <w:b/>
        </w:rPr>
        <w:t>E. 8.3</w:t>
      </w:r>
    </w:p>
    <w:p>
      <w:r>
        <w:t>En l'espèce, le principe d'une indemnisation des frais de défense du prévenu, à raison d'un tiers, lui est acquis. Il ressort toutefois de la note d'honoraires produite à l'appui de ses conclusions qu'il a parfois été assisté de deux conseils, ce que la nature de la cause ne justifiait pas. Par ailleurs, cette note ne permet pas de déterminer quel avocat est intervenu et partant son statut, étant relevé qu'une stagiaire et un chef d'étude ont participé aux débats et que les tarifs horaires utilisés (CHF 250.- ou CHF 350.-) font penser que le chef d'étude a réduit son taux à CHF 350.- alors que celui de la</w:t>
      </w:r>
    </w:p>
    <w:p>
      <w:r>
        <w:t>- 21/25 - P/16518/2022 stagiaire a été augmenté. En conséquence, il sera tenu compte de sept heures d'activité de chef d'étude au taux de CHF 350.-/heure pour la préparation des débats d'appel (sur 8h45 facturées par deux avocats) et de 3h30 pour les débats d'appel eux-mêmes, soit un montant global de CHF 3'675.-, hors TVA vu la résidence à l'étranger du prévenu. C'est donc un montant de CHF 1'225.- (CHF 3'675.-/3) qui sera alloué à ce dernier au titre des dépenses occasionnées par l’exercice raisonnable de ses droits de procédure.</w:t>
      </w:r>
    </w:p>
    <w:p>
      <w:r>
        <w:rPr>
          <w:b/>
        </w:rPr>
        <w:t>E. 9.1</w:t>
      </w:r>
    </w:p>
    <w:p>
      <w:r>
        <w:t>Selon l'art. 136 al. 3 CPP, lors de la procédure de recours l'assistance judiciaire gratuite doit faire l'objet d'une nouvelle demande. En l'occurrence, une telle demande a été formulée tardivement, aux débats d'appel. Les conditions de l'octroi de l'assistance judiciaire étant réalisées, elle sera accordée avec effet à la date de la demande. Aucune disposition légale ne permet en effet un octroi rétroactif, ce d'autant qu'en l'espèce l'attention de l'appelante et de son conseil avait été attirée sur la teneur de cette disposition. L'assistance judiciaire gratuite prendra donc en charge les opérations effectuées à partir desdits débats ainsi qu'un entretien d'une heure en lien avec la notification du présent arrêt, pour une indemnisation totale de CHF 1'178.30 correspondant à 4h30 heures d'activité au tarif de CHF 200.-/heure plus la majoration forfaitaire de 10%, la vacation à l'audience (CHF 100.-) et l'équivalent de la TVA au taux de 8.1% en CHF 88.30.</w:t>
      </w:r>
    </w:p>
    <w:p>
      <w:r>
        <w:rPr>
          <w:b/>
        </w:rPr>
        <w:t>E. 9.2</w:t>
      </w:r>
    </w:p>
    <w:p>
      <w:r>
        <w:t>L'état de frais déposé par l'avocat de l'appelante sera pour le surplus traité comme des conclusions en indemnisation au sens des art. 433 et 436 CPP. La note d'honoraires présentée apparaît pour le surplus raisonnable, notamment en raison du taux horaire retenu. On ne saurait en effet d'office augmenter le taux horaire facturé, bien qu'à l'évidence limité à celui alloué au titre de l'assistance judiciaire, l'avocat pensant plaider sous ce régime. Le montant des honoraires est partant arrêté, comme requis à rigueur de l'état de frais, à CHF 4'042.95 pour 17 heures d'activité au taux de CHF 200.-/heure + une majoration forfaitaire de 10% (allouée exceptionnellement au vu du taux horaire bas de la note d'honoraire) + l'équivalent de la TVA au taux de 8.1% en CHF 302.95. Le prévenu sera ainsi condamné à couvrir l'appelante de ses frais de défense nécessaires à concurrence des deux tiers, soit CHF 2'695.30.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