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AARP/332/2012 vom 19. Oktober 2012</w:t>
      </w:r>
    </w:p>
    <w:p>
      <w:r>
        <w:t>GE Cour de justice, 2012-10-19, FR</w:t>
      </w:r>
    </w:p>
    <w:p>
      <w:r>
        <w:rPr>
          <w:b/>
        </w:rPr>
        <w:t xml:space="preserve">Quelle: </w:t>
      </w:r>
      <w:r>
        <w:t>https://mcp.opencaselaw.ch/entscheid/ge_gerichte_AARP_332_2012</w:t>
      </w:r>
    </w:p>
    <w:p>
      <w:r>
        <w:t>FR: GE_GERICHTE AARP/332/2012 du 19 octobre 2012</w:t>
      </w:r>
    </w:p>
    <w:p>
      <w:r>
        <w:t>IT: GE_GERICHTE AARP/332/2012 del 19 ottobre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sollicite une réduction de sa peine et l'octroi d'un sursis partiel.</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plus spécialement, des circonstances suivantes (cf. arrêts du Tribunal fédéral 6B_408/2008 du 14 juillet 2008</w:t>
      </w:r>
    </w:p>
    <w:p>
      <w:r>
        <w:t>- 6/12 -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2.3</w:t>
      </w:r>
    </w:p>
    <w:p>
      <w:r>
        <w:t>Bien que la récidive ne constitue plus un motif d'aggravation obligatoire de la peine (art. 67 aCP), les antécédents continuent de jouer un rôle très important dans la fixation de celle-ci (M. NIGGLI / H. WIPRÄCHTIGER, Basler Kommentar Strafrecht I : Art. 1- 110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w:t>
      </w:r>
    </w:p>
    <w:p>
      <w:r>
        <w:t>- 7/12 -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2.4.1 Selon l’art. 48 let. a CP, le juge atténue la peine si l’auteur a agi en cédant à un mobile honorable (ch. 1), dans une détresse profonde (ch. 2) ou sous l'effet d'une menace grave.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la fixation de la peine (ATF 128 IV 53 consid. 3a p. 63/64). La circonstance de la détresse profonde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bénéfice de cette circonstance atténuante ne peut être accordé que si l’auteur a respecté une certaine proportionnalité entre les motifs qui le poussent et l’importance du bien qu’il lèse (ATF 110 IV 9 consid. 2 p. 10 ; arrêt du Tribunal fédéral 6B_13/2009 du 9 février 2009 consid. 4.1). La menace grave vise l’auteur qui agit sous l’influence de la contrainte. Agit sous l’effet d’une menace grave celui qui commet une infraction sous l’empire d’une force contraignante, d’une menace ou d’une violence relativement irrésistible (vis compulsiva), comme la contrainte psychique (M. DUPUIS / B. GELLER / G. MONNIER / L. MOREILLON / C. PIGUET (éds), Code pénal I, Bâle 2012, n. 12 ad art. 48), sous réserve de cas particuliers de grave contrainte où une vis compulsiva peut être qualifiée d'irrésistible et permettre ainsi de conclure à l'absence de culpabilité (ATF 104 IV 186 consid. 3b = SJ 1979 p. 249 et les références citées) . C'est souvent la possibilité concrète d'obtenir une aide extérieure qui est décisive (R. ROTH / L. MOREILLON (éds), Code pénal I : art. 1-100 CP, Bâle 2009, n. 20 ad art. 48). 2.4.2 Le repentir sincère visé à l'art. 48 let. d CP suppose une prise de conscience du caractère répréhensible de l'infraction et un changement d'état d'esprit sincère du</w:t>
      </w:r>
    </w:p>
    <w:p>
      <w:r>
        <w:t>- 8/12 -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w:t>
      </w:r>
    </w:p>
    <w:p>
      <w:r>
        <w:rPr>
          <w:b/>
        </w:rPr>
        <w:t>E. 2.5</w:t>
      </w:r>
    </w:p>
    <w:p>
      <w:r>
        <w:t>Lorsque l’auteur a été directement atteint par les conséquences de son acte au point qu’une peine serait inappropriée, l’autorité compétente renonce à le poursuivre, à le renvoyer devant le juge ou à lui infliger une peine (art. 54 CP).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rPr>
          <w:b/>
        </w:rPr>
        <w:t>E. 2.6</w:t>
      </w:r>
    </w:p>
    <w:p>
      <w:r>
        <w:t>Selon l’art. 43 al. 1 CP, le juge peut suspendre partiellement l’exécution notamment d’une peine privative de liberté d’un an au moins et de trois ans au plus afin de tenir compte de façon appropriée de la faute de l’auteur.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2.7</w:t>
      </w:r>
    </w:p>
    <w:p>
      <w:r>
        <w:t>En l'espèce, la faute de l’appelant est lourde. Mû par l’appât d’un gain facile à obtenir, alors que sa situation financière était certes précaire mais qu’il n’était pas dans le besoin dans la mesure où il possédait un terrain et qu'il avait une activité professionnelle, l'appelant a pris part à un important trafic de stupéfiants, dont les ramifications dépassaient les frontières nationales, portant sur des quantités de cocaïne susceptibles de</w:t>
      </w:r>
    </w:p>
    <w:p>
      <w:r>
        <w:t>- 9/12 - mettre en danger la santé de nombreuses personnes. Il s’est livré à une intense activité délictuelle, procédant à deux voyages en l’espace de trois mois, transportant à chaque fois des quantités plus conséquentes de stupéfiants. L'appelant a certes collaboré durant la procédure, il n’en demeure pas moins qu’il a été interpellé par les services de police de l'aéroport dès son arrivée à Genève alors qu'il transportait la drogue dans son corps et n’a reconnu les faits qu’une fois confronté aux éléments à charge recueillis contre lui. Il n'a pas livré d'informations sur les récipiendaires de la marchandise qu'il transportait. Ses aveux constituent un élément favorable, à prendre en considération au stade de la fixation de la peine comme l’ont fait les premiers juges, mais ne constituent pas un geste particulier, désintéressé et méritoire, gage d’un véritable changement d’esprit. L’appelant n’a par ailleurs cessé de se retrancher derrière sa situation financière difficile pour justifier ses actes, ce qui dénote une prise de conscience imparfaite de la gravité de ses agissements. Du reste, sa situation personnelle ne les justifiait en aucun cas. Les motifs qui l’ont poussé à agir apparaissent disproportionnés par rapport au bien juridique lésé, vu les effets dévastateurs de la cocaïne sur la santé des toxicomanes. Il en va de même des problèmes de santé et de l'accouchement difficile de son épouse. Sous l'angle du mobile honorable, la Cour constate que le but recherché par l'appelant, soit de subvenir aux besoins de sa famille - s'il était avéré - ne serait pas critiquable sur le plan moral et se situerait dans la partie supérieure des valeurs éthiques. Il en va en revanche différemment des moyens qu'il s'est donné pour y parvenir, qui dénotent une absence particulière de scrupules. L'appelant, sur la base d'un seul courrier de son épouse, n'arrive pas non plus à faire la preuve de l'existence d'une menace grave. Il ne saurait prétendre à une atténuation de la peine pour ces motifs pas davantage qu’il ne peut faire valoir la circonstance atténuante de la détresse profonde (art. 48 let. a ch. 2 CP) ou du repentir sincère (art. 48 let. d CP). Il ne se justifie en aucun cas d’exempter l’appelant de toute sanction, sa faute étant lourde au regard de ce qui précède. De même, l’appelant n’a pas été directement atteint par les conséquences de son acte, le fait que son épouse se verrait menacée par les commanditaires des infractions commises par l'appelant ne constituant que des conséquences indirectes. L'appelant ne peut pas non plus tirer argument du non aboutissement de la procédure simplifiée pour diminuer sa peine. Les déclarations faites par les parties dans la perspective de la procédure simplifiée qui n'aboutirait pas ne sont pas exploitables dans la procédure ordinaire qui pourrait suivre (art. 362 al. 4 CPP). Les antécédents de l’appelant sont mauvais, celui-ci ayant été condamné à deux reprises en Allemagne pour des faits en partie similaires à ceux faisant l’objet de la présente procédure dont il n'a tiré aucune leçon. Rien ne démontre une volonté d’amender son comportement, de sorte qu’il est à craindre qu’il ne commette de nouvelles infractions à l’avenir. Le pronostic n’apparaît dès lors pas particulièrement favorable, d’autant</w:t>
      </w:r>
    </w:p>
    <w:p>
      <w:r>
        <w:t>- 10/12 - qu’aucun élément tenant à sa situation personnelle et financière n’est de nature à le renverser. Cette absence de prise de conscience de la gravité de ses actes justifie, sous l’angle de la prévention spéciale, une peine privative de liberté ferme qui apparaît, seule, de nature à le dissuader de récidiver à l’avenir. La peine à laquelle l'appelant a été condamné est adéquate et correspond à la faute commise. Elle sera par conséquent confirmée.</w:t>
      </w:r>
    </w:p>
    <w:p>
      <w:r>
        <w:rPr>
          <w:b/>
        </w:rPr>
        <w:t>E. 3</w:t>
      </w:r>
    </w:p>
    <w:p>
      <w:r>
        <w:t>L'appelant sollicite la restitution de son téléphone portable et de l'une des cartes SIM saisis.</w:t>
      </w:r>
    </w:p>
    <w:p>
      <w:r>
        <w:rPr>
          <w:b/>
        </w:rPr>
        <w:t>E. 3.1</w:t>
      </w:r>
    </w:p>
    <w:p>
      <w:r>
        <w:t>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w:t>
      </w:r>
    </w:p>
    <w:p>
      <w:r>
        <w:t>Au sens de l'art. 69 CP,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w:t>
      </w:r>
    </w:p>
    <w:p>
      <w:r>
        <w:rPr>
          <w:b/>
        </w:rPr>
        <w:t>E. 3.2</w:t>
      </w:r>
    </w:p>
    <w:p>
      <w:r>
        <w:t>En l'occurrence, il ressort de la procédure et des déclarations mêmes de l'appelant que les objets dont ils demandent la restitution ont été utilisés pour organiser le trafic de stupéfiants. Ces objets ayant servis à commettre des infractions en Suisse, la mesure de confiscation ordonnée par les premiers juges sera confirmée. Le jugement querellé sera donc entièrement confirmé.</w:t>
      </w:r>
    </w:p>
    <w:p>
      <w:r>
        <w:rPr>
          <w:b/>
        </w:rPr>
        <w:t>E. 4</w:t>
      </w:r>
    </w:p>
    <w:p>
      <w:r>
        <w:t>L'appelant, qui succombe, supportera les frais de la procédure envers l'Etat (art. 428 CPP), comprenant un émolument de CHF 1'000.– (art. 14 al. 1 let. e du règlement fixant le tarif des frais en matière pénale, du 22 décembre 2010 [RTFMP; RS-GE, E 4 10.03]). * * * * *</w:t>
      </w:r>
    </w:p>
    <w:p>
      <w:r>
        <w:t>- 11/12 -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