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AARP/32/2023 vom 26. Januar 2023</w:t>
      </w:r>
    </w:p>
    <w:p>
      <w:r>
        <w:t>GE Cour de justice, 2023-01-26, FR</w:t>
      </w:r>
    </w:p>
    <w:p>
      <w:r>
        <w:rPr>
          <w:b/>
        </w:rPr>
        <w:t xml:space="preserve">Quelle: </w:t>
      </w:r>
      <w:r>
        <w:t>https://mcp.opencaselaw.ch/entscheid/ge_gerichte_AARP_32_2023</w:t>
      </w:r>
    </w:p>
    <w:p>
      <w:r>
        <w:t>FR: GE_GERICHTE AARP/32/2023 du 26 janvier 2023</w:t>
      </w:r>
    </w:p>
    <w:p>
      <w:r>
        <w:t>IT: GE_GERICHTE AARP/32/2023 del 26 gennaio 2023</w:t>
      </w:r>
    </w:p>
    <w:p>
      <w:pPr>
        <w:pStyle w:val="Heading2"/>
      </w:pPr>
      <w:r>
        <w:t>Erwägungen</w:t>
      </w:r>
    </w:p>
    <w:p>
      <w:r>
        <w:rPr>
          <w:b/>
        </w:rPr>
        <w:t>E. 1</w:t>
      </w:r>
    </w:p>
    <w:p>
      <w:r>
        <w:t>L'appel du MP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w:t>
      </w:r>
    </w:p>
    <w:p>
      <w:r>
        <w:t>- 9/21 - P/24065/2021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Le résultat de l'infraction se produit lorsque l'autorisation de séjour est accordée. À défaut, il s'agit d'une tentative. L'infraction doit être intentionnelle (M.S. NGUYEN / C. AMARELLE [éds], Code annoté de droit des migrations, vol. II, Loi sur les étrangers [LEtr], Berne 2017, ch. 2.2 n. 10 ad art. 118). 3.1.2.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2e éd., Bâle 2017, n. 6 ad art. 251).</w:t>
      </w:r>
    </w:p>
    <w:p>
      <w:r>
        <w:t>- 10/21 - P/24065/2021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 ci ait une valeur probante plus grande qu'en matière de faux matériel, pour que le mensonge soit punissable comme faux intellectuel (M. DUPUIS / L. MOREILLON / C. PIGUET / S. BERGER / M. MAZOU / V. RODIGARI [éds], op. cit., n. 34 ad art. 251). De jurisprudence constante, un contrat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(ATF 146 IV 258 consid. 1.1). Par ailleurs, plusieurs arrêts ont considéré qu'un certificat de salaire, respectivement un décompte de salaire, au contenu inexact ne constituait pas un titre (cf. ATF 118 IV 363 consid. 2 ; arrêts du Tribunal fédéral 6B_473/2016 du 22 juin 2017 consid. 4.2.1 ; 6B_72/2015 du 27 mai 2015 consid. 1.5 ; 6B_382/2011 du 26 septembre 2011 consid. 2.1 ; 6B_827/2010 du 24 janvier 2011 consid. 4.5.2 ; 6B_101/2009 du 14 mai 2009 consid. 3.3 ; 6S.423/2003 du 3 janvier 2004 consid. 4.3). De même, un contrat de travail simulé pour obtenir une attestation de séjour a été jugé comme n'ayant pas une valeur probante accrue (arrêt du Tribunal fédéral 6B_72/2015 du 27 mai 2015 consid. 1.5 et 1.6, cité dans l'ATF 146 IV 258 consid. 1.2.6).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(M. DUPUIS / L. MOREILLON / C. PIGUET / S. BERGER / M. MAZOU / V. RODIGARI, op. cit., n. 46 et 48 ad art. 251). 3.1.3. Il y a concours réel entre l'art. 251 CP et l'art. 118 LEI si le comportement frauduleux à l'égard des autorités a été réalisé à l'aide de documents falsifiés (M.S. NGUYEN / C. AMARELLE [éds], Code annoté de droit des migrations, vol. II, Loi sur les étrangers [LEtr], Berne 2017, ch. 3 ad art. 118 p. 1335).</w:t>
      </w:r>
    </w:p>
    <w:p>
      <w:r>
        <w:t>- 11/21 - P/24065/2021 3.2.1. En l'espèce, les éléments produits en appel sont de nature à modifier l'appréciation des faits reprochés à l'intimé au sujet des documents déposés à l'appui de sa demande d'autorisation de séjour. En effet, avec le premier juge, la CPAR considère que les déclarations de K______ dans une procédure parallèle ne permettaient pas, à elles seules, de fonder l'accusation envers l'intimé d'avoir produit des documents falsifiés à l'appui de sa demande auprès de l'OCPM. Les éléments ressortant du rapport de renseignements du 7 juillet 2022 attestent en revanche de ce que le contrat de travail, produit par l'intimé à l'appui de sa demande "Papyrus", présent dans les fichiers informatiques de M______, alors qu'il avait prétendument été signé le 7 janvier 2008, est en réalité issu d'un document créé le</w:t>
      </w:r>
    </w:p>
    <w:p>
      <w:r>
        <w:rPr>
          <w:b/>
        </w:rPr>
        <w:t>E. 7</w:t>
      </w:r>
    </w:p>
    <w:p>
      <w:r>
        <w:t>L'indemnisation allouée à l'intimé au titre de l'art. 429 al. 1 let. a CPP, qui demeure dans la mesure où il bénéficie encore d'un classement et d'un acquittement partiel, sera réduite, tant pour la procédure de première instance que pour la procédure d'appel, de deux tiers, par parallélisme avec la décision sur les frais (ATF 144 IV 207 consid. 1.8.2 ; arrêts du Tribunal fédéral 6B_548/2018 du 18 juillet 2018 consid. 1.1.2 ; 6B_1238/2017 du 12 avril 2018 consid. 2.1). Pour la procédure de première instance, l'indemnité allouée avait été de CHF 251.30 (moitié de CHF 502.60). Pour la procédure d'appel, il a déposé un état de frais faisant état d'un total de 12 heures et 9 minutes d'activité au tarif de CHF 350.- l'heure. Les 3% de "frais divers" facturés ne seront en revanche pas pris en compte, faute de justifications.</w:t>
      </w:r>
    </w:p>
    <w:p>
      <w:r>
        <w:t>- 18/21 - P/24065/2021 L'indemnité due sera partant arrêtée à CHF 1'694.20 (soit 1/3ème de CHF 4'579.95 [CHF 4'252.50 + la TVA au taux de 7.7%, en CHF 327.45] + 1/3ème de CHF 502.60). Conformément à l'art. 442 al. 4 CPP, cette indemnité sera compensée, à due concurrence, avec les frais de procédure mis à la charge de l'intimé. * * * * *</w:t>
      </w:r>
    </w:p>
    <w:p>
      <w:r>
        <w:t>- 19/21 - P/24065/2021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