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AARP/328/2012 vom 5. November 2012</w:t>
      </w:r>
    </w:p>
    <w:p>
      <w:r>
        <w:t>GE Cour de justice, 2012-11-05, FR</w:t>
      </w:r>
    </w:p>
    <w:p>
      <w:r>
        <w:rPr>
          <w:b/>
        </w:rPr>
        <w:t xml:space="preserve">Quelle: </w:t>
      </w:r>
      <w:r>
        <w:t>https://mcp.opencaselaw.ch/entscheid/ge_gerichte_AARP_328_2012</w:t>
      </w:r>
    </w:p>
    <w:p>
      <w:r>
        <w:t>FR: GE_GERICHTE AARP/328/2012 du 5 novembre 2012</w:t>
      </w:r>
    </w:p>
    <w:p>
      <w:r>
        <w:t>IT: GE_GERICHTE AARP/328/2012 del 5 novembre 2012</w:t>
      </w:r>
    </w:p>
    <w:p>
      <w:pPr>
        <w:pStyle w:val="Heading2"/>
      </w:pPr>
      <w:r>
        <w:t>Erwägungen</w:t>
      </w:r>
    </w:p>
    <w:p>
      <w:r>
        <w:rPr>
          <w:b/>
        </w:rPr>
        <w:t>E. 1.1</w:t>
      </w:r>
    </w:p>
    <w:p>
      <w:r>
        <w:t>Les appels du prévenu et de la partie plaignante sont recevables pour avoir été interjetés selon la forme et dans les délais prescrits (art. 398 et 399 du Code de procédure pénale, du 5 octobre 2007 (CPP ; RS 312.0).</w:t>
      </w:r>
    </w:p>
    <w:p>
      <w:r>
        <w:rPr>
          <w:b/>
        </w:rPr>
        <w:t>E. 1.2</w:t>
      </w:r>
    </w:p>
    <w:p>
      <w:r>
        <w:t>L’art. 399 al. 3 let. b CPP prévoit que la déclaration d’appel doit notamment comporter mention des modifications du jugement demandées. La partie qui attaque seulement certaines parties du jugement est en outre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w:t>
      </w:r>
    </w:p>
    <w:p>
      <w:r>
        <w:t>- 11/18 - P/7198/2008 Chambre limite son examen aux violations décrites dans l'acte d'appel (art. 404 al. 1 CPP), sauf en cas de décisions illégales ou inéquitables (art. 404 al. 2 CPP). Selon la doctrine, un grand degré de précision des conclusions n’est pas requis. Il suffit que l’on puisse comprendre sur quel point il est requis que le jugement soit modifié (A. DONATSCH / T. HANSJAKOB / V. LIEBER (éds), Kommentar zur Schweizerischen Strafprozessordnung (StPO), Zurich 2010, n. 12 ad art. 399 ; M. NIGGLI / H. WIPRÄCHTIGER, Basler Kommentar Strafrecht I : Art. 1-110 StGB, Jugendstrafgesetz, 2e éd., Bâle 2007, n. 4 ad art. 399 ; contra : N. SCHMID, Schweizerische Strafprozessordnung : Praxiskommentar, Zurich 2009, n. 12 ad art. 399). En l’occurrence, la partie plaignante appelante a, dans sa déclaration d’appel, conclu à l'octroi d'une indemnité au titre de participation à ses honoraires d'avocat de CHF 15'000.–, sans qu'il fût possible de comprendre, à la lecture de cet acte, qu'il s'agissait là uniquement des prétentions pour la première instance, susceptibles d'être amplifiées pour couvrir l’activité de la procédure d'appel. Aussi, les conclusions additionnelles prises à l'audience, bien après l’échéance du délai de 20 jours de l’art. 399 al. 3 CPP, sont tardives et par conséquent irrecevables.</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189 CP sanctionne d’une peine privative de liberté de dix ans au plus ou d’une peine pécuniaire celui qui, notamment en usant de menaces ou de violence envers une personne, en exerçant sur elle des pressions d’ordre psychique ou en la</w:t>
      </w:r>
    </w:p>
    <w:p>
      <w:r>
        <w:t>- 12/18 - P/7198/2008 mettant hors d’état de résister, l’aura contrainte à subir un acte analogue à l’acte sexuel ou un autre acte d’ordre sexuel.</w:t>
      </w:r>
    </w:p>
    <w:p>
      <w:r>
        <w:rPr>
          <w:b/>
        </w:rPr>
        <w:t>E. 2.3</w:t>
      </w:r>
    </w:p>
    <w:p>
      <w:r>
        <w:t>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t>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w:t>
      </w:r>
    </w:p>
    <w:p>
      <w:r>
        <w:t>- 13/18 - P/7198/2008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t>2.4.1.1 En ce qui concerne le double reproche de contrainte sexuelle, les constatations faites à l’occasion de l’examen gynécologique effectué le 25 avril 2008 à 06h00, soit très rapidement après l’intervention de la police, sont un élément probant important tendant à confirmer les déclarations de la partie plaignante appelante concernant les événements visés sous ch. I.2 de la feuille d’envoi. Il ne s’agit cependant pas encore d’une preuve irréfutable, les dermabrasions relevées ayant pu être causées soit par un acte d’automutilation soit par le frottement du slip de la partie plaignante appelante, selon les déclarations de la gynécologue. En revanche, il n’y a pas lieu d’explorer la thèse de la vie intime de la partie plaignante appelante avancée par son époux, le dossier ne permettant pas de penser que celle-ci comportait des pratiques susceptibles de causer des blessures.</w:t>
      </w:r>
    </w:p>
    <w:p>
      <w:r>
        <w:t>2.4.1.2 En l’absence de preuves matérielles irréfutables, il convient d’apprécier la crédibilité des parties au regard des indices présentés par le dossier.</w:t>
      </w:r>
    </w:p>
    <w:p>
      <w:r>
        <w:t>La partie plaignante appelante a été globalement constante et cohérente dans ses déclarations. Ses émotions étaient en adéquation avec ses dires et ont été jugées authentiques par les divers médecins qui ont recueilli son récit. Un seul d’entre eux, le Dr F______, a rapporté des éléments de narration supplémentaires, relatifs à d’autres relations sexuelles contraintes que celles évoquées dans la procédure, ainsi que des violences envers les enfants. Les deux amies de la partie plaignante appelante entendues dans le cadre de la procédure se sont dites convaincues que celle-ci se livrait à des manœuvres de manipulation. Toutefois, la force probante de ces témoignages est affaiblie par le parti pris de leurs auteures, l’absence d’éléments objectifs avancés à l’appui de leur conviction et par le fait que contrairement à ce</w:t>
      </w:r>
    </w:p>
    <w:p>
      <w:r>
        <w:t>- 14/18 - P/7198/2008 qu’elles ont prétendu et à ce qu’a retenu le premier juge, il ne résulte pas des décisions civiles produites que la partie plaignante appelante aurait mensongèrement accusé son époux de violence envers les enfants. La partie plaignante appelante avait un bénéfice secondaire à retirer de fausses accusations, dans le cadre du conflit relatif à l’attribution du domicile conjugal. Il est vrai qu’il est étonnant qu’elle ait pu se rendre, dans la nuit du 24 au 25 avril 2008, dans la chambre où se trouvait son époux couverte d’une simple nuisette et d’un slip, si vraiment celui-ci l’avait déjà agressée la veille comme elle l’a affirmé. De surcroît, la partie plaignante appelante n’a pas requis l’intervention de la police après ce premier événement et ne l’a relaté lors de son audition du 25 avril 2008 que lorsqu’elle a été interrogée sur d’éventuels précédents. L’usage frauduleux de la carte de crédit de l’époux n’est en revanche guère pertinent, s’agissant d’un comportement bien différent de celui consistant à proférer de fausses et graves accusations en matière pénale. En présence d’éléments d’appréciation pour certains favorables pour d’autres défavorables à la partie plaignante, sa crédibilité doit en définitive être qualifiée de moyenne.</w:t>
      </w:r>
    </w:p>
    <w:p>
      <w:r>
        <w:t>2.4.1.3 Le prévenu appelant, pour sa part, a également été constant et cohérent dans ses déclarations, lesquelles sont corroborées par un élément objectif, soit qu’il émanait de lui une forte odeur de parfum lors de l’arrivée de la police. Il a cependant perdu en crédibilité en s’entêtant à nier la violence de son comportement lors de l’altercation avec son épouse. Vu le nombre de dermabrasions et érythèmes sur la partie supérieure du corps de la partie plaignante appelante, et non seulement les membres, il n’est pas plausible qu’il se soit contenté de la tenir par les bras pour la faire sortir de la chambre.</w:t>
      </w:r>
    </w:p>
    <w:p>
      <w:r>
        <w:t>2.4.1.4 Vu la crédibilité moyenne de la partie plaignante appelante, il ne peut être raisonnablement exclu que les allégations de contrainte sexuelle soient exagérées, voire fausses. La Chambre de céans n’estime cependant pas plausible l’hypothèse de l’automutilation, la partie plaignante appelante ayant été conduite à la maternité pour y être examinée aussitôt après son audition par les gendarmes, ce qui ne lui laissait guère l’occasion de se blesser volontairement. En outre, il y a un pas important à franchir entre des fausses allégations consécutives à une violente altercation, dans un contexte d’important conflit conjugal, et une automutilation, qui plus est dans une zone particulièrement sensible. Ce pas ne saurait être franchi en l’absence d’indices sérieux. De tels indices ne peuvent être déduits des messages dont se prévaut le prévenu appelant et l’existence d’un plan machiavélique est d’autant moins établie que c’est lui qui - volontairement ou non, peu importe - a provoqué l’accès de colère de son épouse, la nuit du 24 au 25 avril 2008, en allumant la lumière de la pièce où elle dormait. En revanche, comme déjà retenu, les dermabrasions constatées dans la zone génitale peuvent avoir été provoquées par le frottement du slip de la partie plaignante appelante. Ce détail, relaté par elle, est suffisamment singulier pour être crédible. La</w:t>
      </w:r>
    </w:p>
    <w:p>
      <w:r>
        <w:t>- 15/18 - P/7198/2008 partie plaignante appelante peut ainsi avoir été blessée soit par l’introduction de doigts soit par le frottement du slip tiré par son époux au cours de l’altercation. En présence de deux thèses également plausibles, il convient de confirmer l’acquittement du prévenu appelant, en application du principe in dubio pro reo.</w:t>
      </w:r>
    </w:p>
    <w:p>
      <w:r>
        <w:t>2.4.2 Il convient également de confirmer le verdict de culpabilité du chef de lésions corporelles simples au préjudice du conjoint. Comme déjà retenu, il n’est pas plausible que le prévenu appelant se soit contenté de tenir son épouse par les bras pour la sortir de la chambre, au regard du nombre de dermabrasions et érythèmes présents sur la partie supérieure du corps de la partie plaignante appelante, outre l’ecchymose sur la région glutéale. En outre, il a tiré sur sa culotte avec assez de violence pour lui causer des lésions au niveau génital, les thèses des actes de contrainte sexuelle ou de l’automutilation ayant été écartées. L’importance, par leur nombre, des atteintes ainsi causées, provoquant nécessairement des douleurs dépassant le simple inconfort passager, justifie la qualification juridique de lésions corporelles simples, plutôt que celle de voies de fait. Par ailleurs, le prévenu appelant, qui reconnaît ne pas avoir été menacé physiquement par son épouse, ne peut se prévaloir d’aucun fait justificatif ni circonstance atténuante. Certes, il a agi dans le contexte d’une dispute, mais il est autant responsable que sa femme du climat insupportable, propice à des éclats, qui régnait au domicile conjugal du fait qu’aucun ne voulait le libérer malgré la décision de se séparer.</w:t>
      </w:r>
    </w:p>
    <w:p>
      <w:r>
        <w:rPr>
          <w:b/>
        </w:rPr>
        <w:t>E. 3</w:t>
      </w:r>
    </w:p>
    <w:p>
      <w:r>
        <w:t>Le prévenu appelant entreprend le jugement querellé également s’agissant de la peine et de ses modalités, mais n’a développé aucun argument à l’appui. La Chambre de céans constate qu’une peine pécuniaire de 30 jours-amende est plutôt clémente, au regard des critères de l’art. 47 CP. Le montant du jour-amende de CHF 300.– l’unité est adapté aux ressources du prévenu appelant au sens de l’art. 34 CP, celui-ci ne soutenant d’ailleurs pas le contraire. L’octroi du sursis, avec délai d’épreuve de deux ans, soit le minimum légal (art. 44 al. 1 CP), ne saurait être discuté, vu l’interdiction de la reformatio in pejus.</w:t>
      </w:r>
    </w:p>
    <w:p>
      <w:r>
        <w:t>Le jugement querellé sera donc confirmé sur ces points également.</w:t>
      </w:r>
    </w:p>
    <w:p>
      <w:r>
        <w:rPr>
          <w:b/>
        </w:rPr>
        <w:t>E. 4.1</w:t>
      </w:r>
    </w:p>
    <w:p>
      <w:r>
        <w:t>Aux termes de l’art. 47 du code des obligations du 30 mars 1911 (CO ; RS 220),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w:t>
      </w:r>
    </w:p>
    <w:p>
      <w:r>
        <w:t>- 16/18 - P/7198/2008</w:t>
      </w:r>
    </w:p>
    <w:p>
      <w:r>
        <w:rPr>
          <w:b/>
        </w:rPr>
        <w:t>E. 4.2</w:t>
      </w:r>
    </w:p>
    <w:p>
      <w:r>
        <w:t>Le montant alloué à la partie plaignante appelante en CHF 3'000.- et contesté par son époux est excessif eu égard à la gravité toute relative de l'atteinte subie, étant rappelé que celle-ci est intervenue dans le contexte d'un incident isolé, lié à un conflit conjugal important et que la qualification juridique de lésions corporelles simples n'a pu être retenue qu’en raison du nombre de traces, par ailleurs légères, constatées. Dans ces circonstances, le montant de l'indemnité allouée à la partie plaignante appelante sera réduit à CHF 500.–.</w:t>
      </w:r>
    </w:p>
    <w:p>
      <w:r>
        <w:rPr>
          <w:b/>
        </w:rPr>
        <w:t>E. 5.1</w:t>
      </w:r>
    </w:p>
    <w:p>
      <w:r>
        <w:t>Selon l’art. 433 CPP, la partie plaignante peut demander au prévenu une juste indemnité pour les dépenses obligatoires occasionnées par la procédure (al. 1), si elle obtient gain de cause, c’est-à-dire lorsque le prévenu est condamné. Il lui appartient de les chiffrer et de les justifier, dès lors que l’autorité pénale n’entre pas en matière sur la demande si elle ne s’acquitte pas de cette obligation (al. 2), ce qui entraîne la péremption du droit d’obtenir une telle indemnité (AARP/204/2012 du 28.06.2012 consid. 6.1 ; A. KUHN / Y. JEANNERET Commentaire romand : Code de procédure pénale suisse, Bâle 2011, n. 2c et 13 ad art. 433).</w:t>
      </w:r>
    </w:p>
    <w:p>
      <w:r>
        <w:t>Le prévenu appelant n'ayant pas satisfait à ces exigences, c'est à juste titre que le premier juge ne lui a pas octroyé d'indemnité en couverture de ses honoraires d'avocat pour la procédure de première instance.</w:t>
      </w:r>
    </w:p>
    <w:p>
      <w:r>
        <w:rPr>
          <w:b/>
        </w:rPr>
        <w:t>E. 5.2</w:t>
      </w:r>
    </w:p>
    <w:p>
      <w:r>
        <w:t>Dans le cadre de la procédure d'appel, la partie plaignante a pris des conclusions chiffrées, recevables à concurrence de CHF 15'000.–. Elle n’obtient toutefois que partiellement gain de cause, de sorte qu’une indemnité lui sera allouée uniquement en couverture de l'activité estimée nécessaire à la défense de ses droits s'agissant d'obtenir la confirmation du verdict de culpabilité du chef de lésions corporelles simples aggravées, soit cinq heures pour la lecture des deux jugements successifs du Tribunal de police, du précédent arrêt de la Chambre de céans, de l'annonce et de la déclaration d'appel du prévenu, de l'ordonnance présidentielle du 10 août 2012 ainsi que pour la relecture d'un dossier relativement ancien mais peu volumineux à l'approche de l'audience, la préparation puis l'assistance à celle-ci ainsi que la plaidoirie. C'est dès lors un montant de CHF 2’160.–, comprenant la TVA au taux de</w:t>
      </w:r>
    </w:p>
    <w:p>
      <w:r>
        <w:rPr>
          <w:b/>
        </w:rPr>
        <w:t>E. 8</w:t>
      </w:r>
    </w:p>
    <w:p>
      <w:r>
        <w:t>%, que le prévenu appelant sera condamné à verser à son épouse au titre de l'application de l'art. 433 CPP pour la procédure d'appel.</w:t>
      </w:r>
    </w:p>
    <w:p>
      <w:r>
        <w:t>6. Les parties succombent toutes deux dans une très large mesure. Les frais de la procédure, y compris un émolument de CHF 3'000.– (art. 14 al. 1 let. e du règlement fixant le tarif des frais en matière pénale, du 22 décembre 2010 [RTFMP ; RS-GE E 4 10.03]) seront dès lors mis à charge de chacune pour moitié (art. 428 CPP).</w:t>
      </w:r>
    </w:p>
    <w:p>
      <w:r>
        <w:t>- 17/18 - P/7198/2008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