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AARP/327/2024 vom 16. September 2024</w:t>
      </w:r>
    </w:p>
    <w:p>
      <w:r>
        <w:t>GE Cour de justice, 2024-09-16, FR</w:t>
      </w:r>
    </w:p>
    <w:p>
      <w:r>
        <w:rPr>
          <w:b/>
        </w:rPr>
        <w:t xml:space="preserve">Quelle: </w:t>
      </w:r>
      <w:r>
        <w:t>https://mcp.opencaselaw.ch/entscheid/ge_gerichte_AARP_327_2024</w:t>
      </w:r>
    </w:p>
    <w:p>
      <w:r>
        <w:t>FR: GE_GERICHTE AARP/327/2024 du 16 septembre 2024</w:t>
      </w:r>
    </w:p>
    <w:p>
      <w:r>
        <w:t>IT: GE_GERICHTE AARP/327/2024 del 16 settembre 2024</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L'infraction à l'art. 19 al. 1 let. c et d LStup, à l'instar de celle à l'art. 119 al. 1 LEI, est punie d'une peine privative de liberté de trois ans au plus ou d'une peine pécuniaire, tandis que l'infraction à l'art. 115 al. 1 let. a LEI est sanctionnée d'une peine privative de liberté d'un an au plus ou d'une peine pécuniaire. Celle à l'art. 286 CP l'est d'une peine pécuniaire de 30 jours-amende au plus.</w:t>
      </w:r>
    </w:p>
    <w:p>
      <w:r>
        <w:t>2.1.2.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w:t>
      </w:r>
    </w:p>
    <w:p>
      <w:r>
        <w:t>- 7/14 - P/9636/2023 (ATF 142 IV 137 consid. 9.1 ; 141 IV 61 consid. 6.1.1). L'art. 47 CP confère un large pouvoir d'appréciation au juge (ATF 144 IV 313 consid. 1.2). Bien que la récidive ne constitue plus un motif d'aggravation obligatoire de la peine (art. 67 aCP), les antécédents continuent de jouer un rôle très important dans la fixation de celle-ci (M. NIGGLI / H. WIPRÄCHTIGER, Basler Kommentar Strafrecht I : 1-110 StGB, Jugendstrafgesetz, Bâle 2019, n. 130 ad art. 47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En outre, les condamnations passées perdent de leur importance avec l'écoulement du temps (ATF 135 IV 87 consid. 2). 2.1.3.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les sanctions envisagées concrètement ne sont pas du même genre, elles doivent être prononcées cumulativement (ATF 144 IV 313 consid. 1.1.1).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(ATF 144 IV 217 consid. 3.5 ; 127 IV 101 consid. 2b ; 116 IV 300 consid. 2c/dd ; 93 IV 7 ; arrêt du Tribunal fédéral 6B_1216/2017 du 11 juin 2018 consid. 1.1.1), en tenant là aussi compte de toutes les circonstances y relatives (arrêts du Tribunal fédéral 6B_1175/2017 du 11 avril 2018 consid. 2.1 in medio ; 6B_688/2014 du 22 décembre 2017 consid. 27.2.1). Les différents comportements visés par l'article 19 al. 1 LStup constituent des infractions indépendantes (ATF 142 IV 401 consid. 3.3.2 ; 133 IV 187 consid. 3.2 ; arrêt du Tribunal fédéral 6B_1248/2017 du 21 février 2019 consid. 6.4.2). 2.1.4. L'art. 41 CP autorise le juge à prononcer une peine privative de liberté à la place d'une peine pécuniaire, en justifiant son choix de manière circonstanciée (al. 2), si une peine privative de liberté paraît justifiée pour détourner l'auteur d'autres crimes</w:t>
      </w:r>
    </w:p>
    <w:p>
      <w:r>
        <w:t>- 8/14 - P/9636/2023 ou délits (al. 1 let. a) ou s'il y a lieu de craindre qu'une peine pécuniaire ne puisse pas être exécutée (al. 1 let. b).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constitue une sanction plus clémente qu'une peine privative de liberté (ATF 144 IV 313 consid. 1.1.1 ; 134 IV 97 consid. 4.2.2). Le choix de la sanction doit être opéré en tenant compte au premier chef de l'adéquation de la peine, de ses effets sur l'auteur et sur sa situation sociale ainsi que de son efficacité du point de vue de la prévention (ATF 147 IV 241 consid. 3.2 ; 144 IV 313 consid. 1.1.1). La faute de l'auteur n'est en revanche pas déterminante (ATF 137 II 297 consid. 2.3.4 ; 144 IV 313 consid. 1.1.1), pas plus que sa situation économique ou le fait que son insolvabilité apparaisse prévisible (ATF 134 IV 97 consid. 5.2.3). 2.1.5. Aux termes des art. 42 al. 1 et 44 al. 1 CP, le juge suspend en règle générale l'exécution d'une peine pécuniaire ou d'une peine privative de liberté de deux ans au plus lorsqu'une peine ferme ne paraît pas nécessaire pour détourner l'auteur d'autres crimes ou délits. Le juge impartit au condamné un délai d'épreuve de deux à cinq ans. Si, durant ce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(art. 46 al. 1 CP).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4.2 à 4.5). Le pronostic quant au comportement futur du condamné, bien qu'il doive être établi aussi bien pour statuer sur l’octroi ou le refus du sursis à la nouvelle peine que sur le</w:t>
      </w:r>
    </w:p>
    <w:p>
      <w:r>
        <w:t>- 9/14 - P/9636/2023 sort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Le juge doit motiver sa décision sur ce point, de manière à ce que l'intéressé puisse au besoin la contester utilement et l'autorité de recours exercer son contrôle (arrêt du Tribunal fédéral 6B_454/2021 du 4 octobre 2021 consid. 4.1). Concrètement, la nouvelle peine, comme peine de base, est augmentée pour tenir compte de la peine révoquée selon une application par analogie du principe d'aggravation. Si la peine de base et la peine à prononcer pour les nouvelles infractions constituent de leur côté des peines d'ensemble, le juge peut, pour fixer la peine complémentaire, tenir compte de façon modérée de l'effet déjà produit de l'application du principe de l'aggravation lors de la fixation de ces peines d'ensemble (ATF 145 IV 146 consid. 2.4).</w:t>
      </w:r>
    </w:p>
    <w:p>
      <w:r>
        <w:rPr>
          <w:b/>
        </w:rPr>
        <w:t>E. 2.2</w:t>
      </w:r>
    </w:p>
    <w:p>
      <w:r>
        <w:t>Comme retenu par le premier juge, la faute de l'appelant n'est pas négligeable, en ce qu'il persiste à se rendre à Genève pour s'adonner au trafic de stupéfiants, alors qu'il en a l'interdiction. Son comportement témoigne ainsi d'un mépris marqué pour l'ordre juridique suisse et les décisions qui le concernent, ses précédentes condamnations ne l'ayant visiblement pas dissuadé de récidiver. Par son comportement, il a porté atteinte à différents biens juridiques protégés, dont la santé des consommateurs de stupéfiants. Il a agi par appât du gain ainsi que par pure convenance personnelle, soit des mobiles éminemment égoïstes. Sa situation personnelle, bien que précaire, ne justifie ses agissements, étant précisé qu'il bénéficiait d'un titre de séjour en Italie. Sa collaboration peut être qualifiée de moyenne : il a admis d'emblée une partie des faits pour lesquels il a été condamnés, niant les autres ou refusant de s'exprimer, puis la totalité en audience de jugement. Il lui aurait toutefois été difficile de persister à les nier, ayant été systématiquement interpellé en flagrant délit. Sa prise de conscience est tout au plus tout amorcée ; il n'a verbalisé aucun regret et ses excuses à chacune de ses interpellations ne l'ont pas empêché de réitérer ses actes délictuels. Il y a concours d'infractions, ce qui justifie une augmentation de la peine dans une juste proportion, et cumul d'infractions punissables de peines de genre différent. Les antécédents de l'appelant sont au nombre de deux et spécifiques en matière de trafic de stupéfiants et d'infractions à la LEI, preuve qu'il n'a tiré aucune leçon de ses</w:t>
      </w:r>
    </w:p>
    <w:p>
      <w:r>
        <w:t>- 10/14 - P/9636/2023 condamnations passées, ni de ses nombreuses interpellations successives ayant conduit à la présente procédure, de sorte que c'est à juste titre qu'en présence d'un pronostic défavorable, le premier juge a opté pour le prononcé d'une peine ferme, ce qui n'est au demeurant pas contesté au stade de l'appel. En ce qui concerne le choix du type de peine, les précédentes condamnations de l'appelant l'ont été à une peine privative de liberté ainsi qu'à une peine pécuniaire, certes avec sursis, ce qui ne l'a toutefois pas dissuadé de récidiver, de sorte que sous l'angle de la prévention spéciale, le prononcé d'une peine privative de liberté se justifie. Il l'est d'autant plus que rien au dossier n'établit que l'appelant serait en mesure de s'acquitter d'une peine pécuniaire, si celle-ci aurait dû être envisagée. Son activité de coiffeur qu'il exerçait avant sa détention est ponctuelle et les revenus qu'il en retire variables. Il n'est par ailleurs nullement prouvé que sa situation financière pourrait s'améliorer en Italie dans une proportion telle qu'elle lui permettrait d'à la fois subvenir à ses besoins élémentaires et de régler la sanction infligée. De plus, l'appelant n'a pas su saisir les différentes opportunités qui lui avaient été offertes, récidivant de surcroît durant le délai d'épreuve des sursis octroyés les 1er novembre 2022 et 23 mars 2023. Le fait que de multiples arrestations provisoires ne l’aient pas dissuadé de recommencer et que seule son incarcération a mis un terme à son activité délictuelle confirme que la seule exécution d’une peine privative de liberté ne suffira pas à le détourner de commettre de nouvelles infractions. C'est ainsi à juste titre que le premier juge a révoqué les sursis antérieurs, son comportement désinvolte face à la sanction laissant apparaître son pronostic sous un jour résolument défavorable, de sorte que les 60 jours de peine privative de liberté, sous déduction d'un jour de détention avant jugement, pour infraction à la LEI et les 60 jours- amende à CHF 10.- l'unité, sous déduction d'un jour de détention avant jugement, pour délit à la LStup, devront être pris en compte dans le calcul des peines d'ensemble à fixer. Concernant les infractions pouvant être sanctionnées par une peine privative de liberté, l'infraction abstraitement la plus grave est celle à l'art. 19 al. 1 let. c et d LStup, commise à trois reprises, justifiant à elle seule une peine privative de liberté de base de quatre mois. Cette peine sera aggravée d'un mois supplémentaire pour chaque violation de l'art. 119 al. 1 LEI (peine hypothétique : deux mois), soit un total de huit mois (4 + [4 x 1]). Il se justifie de prononcer un mois supplémentaire pour tenir compte de la peine du 1er novembre 2022 dont le sursis a été révoqué (60 jours, sous déduction d'un jour de détention avant jugement), ce qui amène à une peine d'ensemble de neuf mois, sous déduction de la détention provisoire et pour des motifs de sûreté subie. Concernant les infractions à l'art. 286 CP, d'égale gravité, une peine de base de 30 jours-amende est prononcée, laquelle sera augmentée de 20 jours-amende (peine</w:t>
      </w:r>
    </w:p>
    <w:p>
      <w:r>
        <w:t>- 11/14 - P/9636/2023 théorique : 30 jours-amende) pour tenir compte de la seconde infraction, soit un total de 50 jours-amende, laquelle doit être aggravée pour tenir compte de la peine du 23 mars 2023 dont le sursis a été révoqué (60 jours-amende, sous déduction d'un jour de détention avant jugement). Il en découle que la peine d'ensemble de 80 jours- amende fixée par le premier juge apparaît clémente : elle sera confirmée. Au vu de la situation financière de l'appelant, le montant du jour-amende sera fixé à CHF 10.-. L'appel est rejeté et le jugement entrepris confirmé.</w:t>
      </w:r>
    </w:p>
    <w:p>
      <w:r>
        <w:rPr>
          <w:b/>
        </w:rPr>
        <w:t>E. 3</w:t>
      </w:r>
    </w:p>
    <w:p>
      <w:r>
        <w:t>L'appelant n'a pas contesté son expulsion, ni sa durée, adéquate, de sorte qu'elles seront confirmées, ainsi que la non inscription au SIS, dans la mesure où elles consacrent une correcte application du droit.</w:t>
      </w:r>
    </w:p>
    <w:p>
      <w:r>
        <w:rPr>
          <w:b/>
        </w:rPr>
        <w:t>E. 4</w:t>
      </w:r>
    </w:p>
    <w:p>
      <w:r>
        <w:t>Les motifs ayant conduit le premier juge à prononcer, par ordonnance séparée du 17 juin 2024, le maintien de l'appelant en détention pour des motifs de sûreté sont toujours d'actualité, ce que celui-ci ne conteste au demeurant pas, de sorte que la mesure sera reconduite mutatis mutandis (ATF 139 IV 277 consid. 2.2 à 2.3).</w:t>
      </w:r>
    </w:p>
    <w:p>
      <w:r>
        <w:rPr>
          <w:b/>
        </w:rPr>
        <w:t>E. 5</w:t>
      </w:r>
    </w:p>
    <w:p>
      <w:r>
        <w:t>L'appelant, qui succombe, supportera les frais de la procédure envers l'État, y compris un émolument d'arrêt de CHF 1'500.- (art. 428 CPP).</w:t>
      </w:r>
    </w:p>
    <w:p>
      <w:r>
        <w:t>Il n'y a pas lieu de revoir la répartition des frais de la procédure de première instance.</w:t>
      </w:r>
    </w:p>
    <w:p>
      <w:r>
        <w:rPr>
          <w:b/>
        </w:rPr>
        <w:t>E. 6</w:t>
      </w:r>
    </w:p>
    <w:p>
      <w:r>
        <w:t>Pour le surplus, il ne se justifie pas de revenir sur les diverses mesures de confiscation, destruction, restitution et dévolution ordonnées, points qui ne sont pas contestés en appel et qui consacrent une correcte application du droit (cf. art. 404 CPP).</w:t>
      </w:r>
    </w:p>
    <w:p>
      <w:r>
        <w:rPr>
          <w:b/>
        </w:rPr>
        <w:t>E. 7</w:t>
      </w:r>
    </w:p>
    <w:p>
      <w:r>
        <w:t>En l'absence de production d'une note de frais afférente à la procédure d'appel, la CPAR est amenée à apprécier l'indemnité due à Me C______, défenseure d'office de l'appelant, ex aequo et bono. S’agissant d’une procédure écrite ne portant que sur la question de la fixation de la peine, la CPAR retiendra trois heures d’activité de cheffe d’étude pour la rédaction du mémoire d'appel (sept pages, dont quatre de droit). En conclusion, la rémunération sera arrêtée à CHF 713.50 correspondant à trois heures d'activité au tarif de CHF 200.-/heure plus la majoration forfaitaire de 10% et l'équivalent de la TVA au taux de 8.1%, en CHF 53.50. * * * * *</w:t>
      </w:r>
    </w:p>
    <w:p>
      <w:r>
        <w:t>- 12/14 - P/9636/2023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