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AARP/323/2020 vom 18. September 2020</w:t>
      </w:r>
    </w:p>
    <w:p>
      <w:r>
        <w:t>GE Cour de justice, 2020-09-18, FR</w:t>
      </w:r>
    </w:p>
    <w:p>
      <w:r>
        <w:rPr>
          <w:b/>
        </w:rPr>
        <w:t xml:space="preserve">Quelle: </w:t>
      </w:r>
      <w:r>
        <w:t>https://mcp.opencaselaw.ch/entscheid/ge_gerichte_AARP_323_2020</w:t>
      </w:r>
    </w:p>
    <w:p>
      <w:r>
        <w:t>FR: GE_GERICHTE AARP/323/2020 du 18 septembre 2020</w:t>
      </w:r>
    </w:p>
    <w:p>
      <w:r>
        <w:t>IT: GE_GERICHTE AARP/323/2020 del 18 settembre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L'art. 312 CP réprime le fait pour un membre d'une autorité ou un fonctionnaire d'abuser des pouvoirs de sa charge dans le dessein de se procurer ou de procurer à un tiers un avantage illicite ou de nuire à autrui.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Une violation insoutenable des pouvoirs confiés n'est en revanche pas nécessaire.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Tribunal fédéral 6B_76/2011 du 31 mai 2011, consid. 5.1 et les références citées). Selon l'interprétation restrictive de la doctrine et de la jurisprudence, l'abus d'autorité ne comprend que les pouvoirs qui sont conférés au fonctionnaire. Ceux-ci sont caractérisés par le droit d'exercer une contrainte. Peu importe que les pouvoirs soient conférés à l'agent public par une loi, un règlement ou sur la base d'un mandat d'une</w:t>
      </w:r>
    </w:p>
    <w:p>
      <w:r>
        <w:t>- 9/22 - P/1572/2018 autorité publique (BASLER KOMMENTAR (BSK), STRAFRECHT II, 4ème ed., 2019, ad art. 312 CP n° 6 et les références citées) Lorsque l’on parle d’abus dans l’exercice du pouvoir public, un des critères à prendre en compte est celui de la force. Dans une telle situation, il se vérifie par une utilisation exorbitante, excessive et démesurée du pouvoir, qui sort des limites normatives. Le Tribunal fédéral a éclairci le concept par une formulation standard : (a) l’auteur use illicitement des pouvoirs qu’il tire de sa charge lorsqu’il décide ou contraint dans un cas où il ne lui était pas permis de le faire ; (b) l’auteur poursuit un but légitime, mais recourt à des moyens disproportionnés (COMMENTAIRE ROMAND (CR), CODE PENAL II, 2017, ad art. 312 CP, n° 25) 2.1.2. La première condition pour un abus de pouvoir est le fait que l’auteur accomplit un acte de puissance publique. L'auteur exerce ses pouvoirs officiels lorsqu’il accomplit un acte ou prend une mesure entrant dans ceux que ses fonctions lui commandent d’accomplir ordinairement. L’exercice de la puissance publique vise par conséquent deux hypothèses : l’acte de disposition de droit public (Verfügung) et l’acte matériel de contrainte (Zwang). Le pouvoir devrait avoir été exercé seulement à l’encontre de personnes (physiques ou morales) extérieures à l’administration. Il doit s’agir d’une décision d’un membre d’une autorité ou d’un fonctionnaire rendue à l’égard d’un ou de plusieurs particuliers. Elle doit régler de manière contraignante une situation juridique. Il y a abus d'autorité officielle lorsque l'auteur utilise illégalement les pouvoirs qui lui sont conférés en émettant des ordres souverains en vertu de sa fonction ou en exerçant une contrainte d'une autre manière lorsque cela ne doit pas être fait (PETIT COMMENTAIRE (PC), CODE PENAL, 2017, ad art. 312 CP, n° 10 et ss et les références citées; CR, op. cit., n°24 ; BSK, op. cit., n° 7 et 16 et les références citées).</w:t>
      </w:r>
    </w:p>
    <w:p>
      <w:r>
        <w:t>Dans la première hypothèse, l’auteur exerce la puissance publique en accomplissant un acte de disposition de droit public, par exemple en prenant une décision en vertu d'un pouvoir de décision constitutif de la puissance publique. Dans la deuxième hypothèse, l’auteur accomplit un acte matériel de contrainte dans le cadre de son activité professionnelle. La contrainte est une atteinte aux droits de la liberté personnelle qui est généralement le fait de l’usage de la force physique, mais peut également provenir de pressions d’ordre psychique. En matière de violence et de contrainte exercées par un fonctionnaire, peu importe que l’auteur poursuive ou non un but relevant de sa fonction officielle. En cas d'utilisation de la force, il suffit que l’utilisation de celle-ci apparaisse comme l’exercice de la puissance qui échoit au fonctionnaire en vertu de sa position officielle. L’exploitation d’une position officielle est étroitement liée au pouvoir d’exercer la force et donc à celui d’adopter des mesures de type coercitif. On entrevoit une certaine tendance de la jurisprudence à élargir le champ d’application au cas où la décision de nature coercitive est à la base du comportement de l’auteur, lequel est immédiatement lié à celle-ci et vise à</w:t>
      </w:r>
    </w:p>
    <w:p>
      <w:r>
        <w:t>- 10/22 - P/1572/2018 obtenir un avantage illicite ou à nuire à un tiers. (PC, op. cit., n° 10 et ss ;. CR, op. cit., n° 18 et les références citées) La deuxième condition pour que l’auteur réalise le comportement typique de l’article 312 CP est qu’il abuse de son autorité. Tel est le cas lorsqu’il use d’une façon non permise de ses pouvoirs officiels, c’est-à-dire qu’en vertu de sa charge, il en dispose – avec effet obligatoire – en dépassant les limites de ce que ses pouvoirs lui permettent. L’usage est illicite lorsque l’acte viole un devoir de fonction prévu explicitement ou implicitement dans une loi au sens matériel ou dans la Constitution. La carence d’une condition formelle à l’accomplissement d’une mesure de contrainte ne suffit pas pour la considérer comme un abus de pouvoir. En cas de manque apparent de base légale, il faut vérifier si l’acte ou la mesure ne reposent pas sur la clause générale de police. Il suffit que la contrainte implique un abus de pouvoir, c'est-à-dire qu'elle ait été rendue possible par l'autorité officielle et qu'elle semble être l'exercice de cette autorité (PC, op. cit., n° 10 et ss ; BSK, op. cit., n° 14 et les références citées) 2.1.3. Le législateur a voulu réprimer « divers cas particuliers spécialement importants de manquements à ces devoirs ». L’abus d’autorité constitue partant un quid pluris puisqu’il a pour objet des manquements spécifiques et qualifiés. La portée de la norme est limitée « à son noyau de signification ». Le choix se concentre sur des situations typiques et non pas sur des comportements borderline qui pourraient faire ressortir le caractère général et subsidiaire de l’abus d’autorité vis-à-vis d’autres infractions. Cette ligne directrice a été confirmée de manière constante par la jurisprudence (CR , op. cit., ad n° 16). La disposition ne tend à sanctionner comme abus d’autorité que les cas importants de manquement à un devoir de fonction. Les infractions de moindre gravité doivent être sanctionnées par la voie disciplinaire, voire par des dispositions cantonales sur la répression des contraventions conformément à l’article 335 CP (ATF 88 IV 69, c. 1, JdT 1962 IV 86). La simple violation de devoirs de service, même sanctionnée par l’autorité supérieure ou de recours, ne suffit pas pour retenir l’existence d’un abus. Il doit s’agir d’une violation insoutenable des règles applicables (PC, op. cit., n° 19 et les références citées).</w:t>
      </w:r>
    </w:p>
    <w:p>
      <w:r>
        <w:t>En particulier, l'article 312 CP ne s'applique pas aux décisions qui entraînent des avantages illicites pour des personnes, à condition que l'effet coercitif n'affecte pas les tiers. En cas d'infractions aux devoirs de la charge pour lesquelles le critère caractéristique de la contrainte fait défaut, seuls l'entrave à l'action pénale (art. 305 CP) ou la gestion déloyale des intérêts publics (art. 314 CP), la corruption d'agents publics suisses (art. 322ter ss.) ou encore la loi pénale cantonale relative aux fonctionnaires cantonaux sont applicables. La sanction des autres manquements au</w:t>
      </w:r>
    </w:p>
    <w:p>
      <w:r>
        <w:t>- 11/22 - P/1572/2018 devoir devrait être laissée exclusivement au droit disciplinaire (BSK, op. cit., n°13 et 21).</w:t>
      </w:r>
    </w:p>
    <w:p>
      <w:r>
        <w:rPr>
          <w:b/>
        </w:rPr>
        <w:t>E. 2.2</w:t>
      </w:r>
    </w:p>
    <w:p>
      <w:r>
        <w:t>En l'espèce, il est difficile de discerner en quoi A______ a abusé de son autorité au sens de la doctrine et la jurisprudence précitées.</w:t>
      </w:r>
    </w:p>
    <w:p>
      <w:r>
        <w:t>Il est certes établi qu'il s'est présenté au C______ sous couvert de sa fonction de policier et qu'il a laissé entendre que des motifs liés à son activité professionnelle justifiaient de sa demande d'accréditation. Cela étant, vu la procédure mise en place à la fois par les organisateurs du C______ et par la police elle-même, l'admission de policiers es qualité au salon était soumise tant à l'approbation de l'officier de liaison qu'à celle de F______, responsable de la sécurité et seul habilité à délivrer les sésames d'accès, ceci de manière totalement indépendante de l'accueil préalables des hôtesses.</w:t>
      </w:r>
    </w:p>
    <w:p>
      <w:r>
        <w:t>Or, même si F______ a discuté avec A______ des raisons de sa présence au C______, il n'apparaît pas que ce soit par suite d'une contrainte ou d'un rapport de force émanant de A______ que ce dernier a été autorisé à pénétrer au salon. Bien au contraire, puisque F______ en a référé à K______ lequel lui a, à tout le moins implicitement, demandé de l'accréditer en lui indiquant qu'il était bien policier, sans même demander à A______ les raisons de sa présence au salon. Par ailleurs, K______ a également réservé à la stricte approbation de F______ l'admission au salon de A______.</w:t>
      </w:r>
    </w:p>
    <w:p>
      <w:r>
        <w:t>Il apparait ainsi que même s'il s'est légitimé en tant que policier en service, A______ n'a à aucun moment fait usage de contrainte pour soumettre un tiers à lui accorder l'autorisation d'accès mais qu'il a tout au plus cherché à justifier sa présence, sans pour autant que vis-à-vis de sa demande, motivée par son intérêt personnel, il en résulte qu'il se soit trouvé en position de force pour imposer qu'elle soit acceptée. Il peut d'ailleurs légitimement être considéré que F______ a immédiatement fortement douté des explications données par A______, vu le sms adressé à E______, et qu'il pouvait d'autant plus s'opposer à l'admission de l'appelant.</w:t>
      </w:r>
    </w:p>
    <w:p>
      <w:r>
        <w:t>En l'absence d'acte matériel de contrainte qui puisse lui être imputable, il ne peut pas non plus être considéré que A______ a pris une décision en vertu d'un pouvoir constitutif de la puissance publique. En effet, l'admission de policiers était soumise à approbation dans le contexte précité, et il n'était pas dans les prérogatives de A______ de pouvoir en décider au-delà de la procédure prévue, ce qu'il n'a d'ailleurs pas cherché à faire.</w:t>
      </w:r>
    </w:p>
    <w:p>
      <w:r>
        <w:t>A titre superfétatoire, il sera relevé que pour autant qu'il eut fallu admettre un abus de A______ dans l'exercice de ses fonctions, il ne saurait être considéré que son comportement corresponde à un cas important de manquement à un devoir de</w:t>
      </w:r>
    </w:p>
    <w:p>
      <w:r>
        <w:t>- 12/22 - P/1572/2018 fonction par le simple fait qu'il a cherché à entrer dans un salon professionnel en se prévalant de sa qualité de policier. Au vu de l'interprétation restrictive donnée par la jurisprudence à la commission de l'infraction, il faudrait retenir tout au plus qu'il s'agirait d'un cas de moindre gravité devant être sanctionné par la voie disciplinaire uniquement. A cet égard, il est d'ailleurs souligné que l'art. 6 ch. 4 du règlement genevois sur l’organisation de la police (ROPol) [F 1 05.01] du 16 mars 2016 dispose que celui qui aura porté abusivement l’uniforme ou un accessoire de l'équipement, aura refusé de le porter malgré l’ordre reçu ou l’aura porté de façon non conforme aux prescriptions ou aux ordres reçus s'expose à une sanction disciplinaire au sens des articles 36 et suivants de la loi, sans préjudice d'une éventuelle sanction pénale.</w:t>
      </w:r>
    </w:p>
    <w:p>
      <w:r>
        <w:t>L'appel sera ainsi admis sur ce point et le jugement réformé.</w:t>
      </w:r>
    </w:p>
    <w:p>
      <w:r>
        <w:rPr>
          <w:b/>
        </w:rPr>
        <w:t>E. 3</w:t>
      </w:r>
    </w:p>
    <w:p>
      <w:r>
        <w:t>3.1.1. Au sens de l'art. 4 al. 1 let. g LArm, dans sa teneur du 1er juillet 2016, par armes, on entend notamment les armes factices, les armes d’alarme et les armes soft air, lorsqu’elles peuvent être confondues avec de véritables armes à feu du fait de leur apparence.</w:t>
      </w:r>
    </w:p>
    <w:p>
      <w:r>
        <w:t>3.1.2. Selon l'art. 11 al. 1 Larm (teneur du 1er juillet 2016), l’aliénation d’une arme ou d’un élément essentiel d’arme ne nécessitant pas de permis d’acquisition d’armes (art. 10) doit être consignée dans un contrat écrit. Ce contrat doit être conservé par chaque partie pendant au moins dix ans. L'alinéa 2 de la disposition prévoit que le contrat doit contenir les indications suivantes: a. le nom, les prénoms, la date de naissance, l’adresse ainsi que la signature de la personne qui aliène l’arme ou l’élément essentiel d’arme.</w:t>
      </w:r>
    </w:p>
    <w:p>
      <w:r>
        <w:t>Les dispositions précitées figurent toujours dans la version actuelle de la LArm. 3.1.3. L'art. 33 al. 1 LArm prévoit qu'est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t>Si l’auteur agit par négligence, la peine est une amende. Dans les cas de peu de gravité, le juge peut exempter l’auteur de toute peine (al. 2).</w:t>
      </w:r>
    </w:p>
    <w:p>
      <w:r>
        <w:t>3.1.4. 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w:t>
      </w:r>
    </w:p>
    <w:p>
      <w:r>
        <w:t>- 13/22 - P/1572/2018 quiconque, par une imprévoyance coupable, commet un crime ou un délit sans se rendre compte des conséquences de son acte ou sans en tenir compte. Le dol éventuel ne suppose pas nécessairement que la survenance du résultat soit très probable, mais seulement possible même si cette possibilité ne se réalise que relativement rarement d'un point de vue statistique (ATF 131 IV 1 consid. 2.2 p. 4 s.).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La conclusion que l'auteur s'est accommodé du résultat ne peut en aucun cas être déduite du seul fait qu'il a agi bien qu'il eût conscience du risque que survienne le résultat, car il s'agit là d'un élément commun à la négligence consciente également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(arrêt du Tribunal fédéral 6B_557/2015 du 28 janvier 2016, consid. 2.2 et les références citées).</w:t>
      </w:r>
    </w:p>
    <w:p>
      <w:r>
        <w:rPr>
          <w:b/>
        </w:rPr>
        <w:t>E. 3.2</w:t>
      </w:r>
    </w:p>
    <w:p>
      <w:r>
        <w:t>En l'espèce, A______ ne conteste pas la possession du fusil soft air. Aucun élément du dossier ne permet de contester sa version selon laquelle il a trouvé le fusil soft air dans son casier lorsque ce dernier lui a été attribué puis en a oublié l'existence, aucun collègue ne l'ayant jamais vu avec ce fusil en main. Par ailleurs, au vu de la photographie figurant au dossier et du rapport complémentaire établi par la police (p. C 162), la CPAR considère qu'il est établi que ce fusil soft air correspond bien à la définition visée à l'art. 4 al.1 let. g LArm, contrairement à ce que soutient l'appelant, étant relevé qu'il n'a pas soulevé cet argument devant le TP, se contentant d'indiquer qu'il avait vu qu'il ne s'agissait pas d'une arme à feu. A______ a admis devant la CPAR qu'il avait reçu une instruction sur les armes lors de sa formation et qu'il s'était interrogé sur la nécessité de signaler la présence de ce fusil soft air dans son casier à ses supérieurs lorsqu'il l'avait trouvé. Cet élément</w:t>
      </w:r>
    </w:p>
    <w:p>
      <w:r>
        <w:t>- 14/22 - P/1572/2018 laisse apparaître qu'il a eu conscience du caractère potentiel d'arme de ce fusil soft air. Il a cependant indiqué s'être abstenu d'en référer à sa hiérarchie pensant faire éventuellement l'objet d'un bizutage ou d'un test pour son arrivée et qu'il pensait identifier à la suite le propriétaire de ce fusil soft air, puis en avoir oublié l'existence. Il est relevé que le caractère soft air de l'objet, de même que la nécessité de la possession d'un titre de transfert, sont peu susceptibles d'avoir particulièrement attiré l'attention de A______ sur la réalisation des éléments constitutifs de l'infraction à l'art. 33 al. 1 LArm, la gravité de la violation du devoir de prudence étant relative à cet égard. De la sorte, l'on ne peut retenir que la survenance du résultat s'est imposée à A______ que comme une acceptation de ce fait. Il apparaît au contraire que c'est par une imprévoyance coupable que A______ a conservé ce fusil soft air dans son casier alors qu'il n'en avait jamais eu aucun usage personnel.</w:t>
      </w:r>
    </w:p>
    <w:p>
      <w:r>
        <w:t>A l'examen des faits, il apparaît que A______ a fait preuve de négligence coupable en escomptant que le résultat ne se produirait pas. Son appel sera partiellement admis et, conformément à l'art. 33 al. 2 LArm, il sera condamné à l'amende, le jugement étant réformé en ce sens.</w:t>
      </w:r>
    </w:p>
    <w:p>
      <w:r>
        <w:rPr>
          <w:b/>
        </w:rPr>
        <w:t>E. 4.1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4.2</w:t>
      </w:r>
    </w:p>
    <w:p>
      <w:r>
        <w:t>En l'espèce, la faute de A______ est relative. Cependant, en sa qualité de policier formé, il se devait de clarifier la situation quant à la présence du fusil soft air dans son casier. Par pure négligence, il a omis de s'en préoccuper. Une amende de CHF 500.- sera ainsi prononcée pour sanctionner correctement ce manquement.</w:t>
      </w:r>
    </w:p>
    <w:p>
      <w:r>
        <w:rPr>
          <w:b/>
        </w:rPr>
        <w:t>E. 5</w:t>
      </w:r>
    </w:p>
    <w:p>
      <w:r>
        <w:t>5.1.1. Selon l’art. 426 al. 1 CPP, le prévenu supporte les frais de procédure s’il est condamné. Si l'autorité de recours rend une nouvelle décision, elle se prononce également sur les frais fixés par l'autorité inférieure (art. 428 al. 3 CPP).</w:t>
      </w:r>
    </w:p>
    <w:p>
      <w:r>
        <w:t>- 15/22 - P/1572/2018</w:t>
      </w:r>
    </w:p>
    <w:p>
      <w:r>
        <w:t>5.1.2.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w:t>
      </w:r>
    </w:p>
    <w:p>
      <w:r>
        <w:t>5.1.3.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Cette condamnation aux frais doit respecter la présomption d'innocence, consacrée par les art. 32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références citées).</w:t>
      </w:r>
    </w:p>
    <w:p>
      <w:r>
        <w:t>5.1.4. Outre l'art. 6 ch. 4 du règlement sur l’organisation de la police (ROPol) précité (cf consid. 2.2 supra), la loi genevoise sur la police [LPol - F 1 05] entrée en vigueur le premier mai 2016 prévoit sous son art. 23 ch. 1 que les membres du personnel de la police ne peuvent exercer une activité incompatible avec la dignité de leur fonction ou qui peut porter préjudice à l’accomplissement des devoirs de service alors que l'art. 22 ch. 2 de la loi dispose que le port abusif de l’uniforme ou d’un accessoire de l’équipement est interdit. En outre, l'art. 9 al. 1 du règlement sur les cartes de légitimation attestant un pouvoir d’autorité [B 3 25.04], entré en vigueur le premier août 2012, prévoit quant à lui que</w:t>
      </w:r>
    </w:p>
    <w:p>
      <w:r>
        <w:t>- 16/22 - P/1572/2018 les titulaires d’une carte de légitimation ne peuvent l’utiliser que dans l’exercice de leurs fonctions.</w:t>
      </w:r>
    </w:p>
    <w:p>
      <w:r>
        <w:t>5.1.5.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5.2.1. Dans le cas d'espèce, il est tout à fait manifeste que, pour bonne partie, la procédure pénale a été ouverte du fait de la présence incongrue et irrégulière de l'appelant au C______, lors d'une journée exclusivement réservée aux professionnels, à l'occasion de laquelle il s'est présenté et légitimé comme policier agissant dans le cadre de sa fonction et en faisant usage de sa carte de police, alors même qu'il était en congé et mû par son seul intérêt privé. Ce comportement est clairement contraire aux devoirs de sa charge et à la loi et au règlement sur le port abusif d'accessoires de l'équipement de policier. Cela étant, il convient de retenir que, de façon concomitante, le vol d'un [objet présenté] dans l'enceinte du C______, a manifestement contribué à amplifier notablement l'objet de la procédure pénale, étant toutefois relevé que l'appelant s'est involontairement trouvé sur les lieux mêmes de la disparition de [l'objet] et que c'est bien sa présence, contraire à ses obligations lors d'une journée fermée au public, et les explications peu convaincantes qu'il en a données sur place qui ont suscité l'ouverture de la procédure pénale à son encontre. Nonobstant, celle-ci a pris des proportions notables en rapport à la mise en prévention pour le vol dont il était suspecté principalement. Il convient en outre de tenir compte de l'infraction à la LArm pour laquelle l'appelant est reconnu coupable. Il y a ainsi lieu de mettre à sa charge un tiers des frais de la procédure de première instance, le solde étant laissé à la charge de l'Etat. 5.2.2. En appel, l’appelant obtient gain de cause pour l'essentiel. Partant, les frais pour la procédure d’appel, comprenant un émolument de CHF 1'500.- (art. 14 al. 1 let. e du règlement fixant le tarif des frais en matière pénale [RTFMP]), ainsi que l’émolument complémentaire de première instance lui seront imputés pour un quart, le solde étant laissé à la charge de l’Etat.</w:t>
      </w:r>
    </w:p>
    <w:p>
      <w:r>
        <w:rPr>
          <w:b/>
        </w:rPr>
        <w:t>E. 6</w:t>
      </w:r>
    </w:p>
    <w:p>
      <w:r>
        <w:t>6.1.1. Selon l'art. 429 al. 1 CPP, le prévenu bénéficiant d'un acquittement ou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L'autorité pénale examine d'office les prétentions du prévenu. Elle peut enjoindre à celui-ci de les chiffrer et de les justifier (art. 429 al. 2 CPP). Cette disposition s'applique aux voies de recours (y inclus l'appel) en vertu de l'art. 436 al. 1 CPP (arrêt du Tribunal fédéral 6B_74/2017 du 21 avril 2017 consid. 2.1).</w:t>
      </w:r>
    </w:p>
    <w:p>
      <w:r>
        <w:t>- 17/22 - P/1572/2018</w:t>
      </w:r>
    </w:p>
    <w:p>
      <w:r>
        <w:t>6.1.2.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w:t>
      </w:r>
    </w:p>
    <w:p>
      <w:r>
        <w:t>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w:t>
      </w:r>
    </w:p>
    <w:p>
      <w:r>
        <w:t>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w:t>
      </w:r>
    </w:p>
    <w:p>
      <w:r>
        <w:t>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6B_300/2012 du 10 juin 2013 consid. 2.4 ;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Bâle 2011, n. 5 ad art. 430 CPP). Lorsque la condamnation aux frais n'est que partielle, la réduction de l'indemnité devrait s'opérer dans la même mesure (arrêts du Tribunal fédéral 6B_548/2018 du 18 juillet 2018 consid. 1.1.2 ; 6B_1238/2017 du 12 avril 2018 consid. 2.1 ; 6B_385/2017 du 5 décembre 2017 consid. 2.1).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arrêts du Tribunal fédéral 6B_548/2018 du 18 juillet 2018 consid. 1.1.2 ; 6B_1238/2017 du 12 avril 2018 consid. 2.1).</w:t>
      </w:r>
    </w:p>
    <w:p>
      <w:r>
        <w:t>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w:t>
      </w:r>
    </w:p>
    <w:p>
      <w:r>
        <w:t>- 18/22 - P/1572/2018 ayant donné lieu au classement ou à l'acquittement partiel (cf. art. 430 CPP a contrario).</w:t>
      </w:r>
    </w:p>
    <w:p>
      <w:r>
        <w:t>6.1.3. Les honoraires d'avocat se calculent selon le tarif local, à condition qu'ils restent proportionnés (N. SCHMID, op. cit., n. 7 ad art. 429). L'avocat mandaté par un client domicilié à l'étranger ne peut pas facturer de montant au titre de la TVA (ACPR/402/2012 du 27 septembre 2012 consid. 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w:t>
      </w:r>
    </w:p>
    <w:p>
      <w:r>
        <w:t>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6.2</w:t>
      </w:r>
    </w:p>
    <w:p>
      <w:r>
        <w:t>En l'espèce, l'appelant conclut à l'octroi de CHF 8'083.46 (TVA incluse) pour l'activité de son ancien conseil et de CHF 11'700.- (9'525.- + 1'237.50 (préparation) + 937.50 (audience), hors TVA, plus CHF 150.- (déplacement).</w:t>
      </w:r>
    </w:p>
    <w:p>
      <w:r>
        <w:t>Il convient de relever que dans son courrier du 5 décembre 2018 adressé au MP, par lequel une indemnisation de CHF 24'250.40 était demandée après l'annonce du classement à venir, l'ancien conseil de l'appelant avait relevé que les audiences avaient été essentiellement, voire exclusivement consacrées à la question du vol. Malgré cela, la demande d'indemnisation portée devant le TP (après classement) était de CHF 42'954.10. La totalité des six audiences devant le MP où l'appelant a été assisté par un conseil ou un de ses collaborateurs a duré de l'ordre de 14 heures, dont six heures et demi avec la présence du conseil. Après le 5 décembre 2018, seule une audience de deux heures est intervenue le 25 février 2019. Selon le relevé d'activités, outre les heures de préparation d'audience et d'étude du dossier, jusqu'au 5 décembre 2018, de multiples contacts sont intervenus avec le client, les conférences ont duré environ neuf heures, ceci sans compter les heures des collaborateurs, essentiellement des emails ou des téléphones, outre la participation à des audiences. Il paraît</w:t>
      </w:r>
    </w:p>
    <w:p>
      <w:r>
        <w:t>- 19/22 - P/1572/2018 raisonnable d'admettre qu'un quart de l'activité jusqu'au 5 décembre a porté sur la question de l'abus d'autorité et de l'infraction à la LArm. Par ailleurs, la dernière audience au MP en février 2019, d'une durée de deux heures, a pu ne porter que sur la question de l'abus d'autorité vu le classement partiel alors déjà annoncé et il y a lieu de prendre en compte la préparation à l'audience précitée et à celle du TP (huit heures annoncées), qui elle-même qui a duré environ trois heures plus l'activité diverse des collaborateurs. Bien que certaines de ces durées apparaissent quelque peu excessives en regard des faits de la cause encore à trancher, le montant requis de CHF 8'083.46 apparaît raisonnable et sera partiellement accordé en lien avec la répartition des frais mis à charge de l'appelant. S'agissant du relevé d'activité de son conseil actuel (21h10), elle paraît conforme, sous la réserve que les 12 heures et 45 minutes d'activités entre le 25 et le 26 août 2020 pour conférence, étude du dossier et préparation de la plaidoirie, auxquels il faudrait encore ajouter deux heures 45 minutes de préparation, apparaissent excessifs en regard des faits encore à trancher, une activité de dix heures étant suffisante à cet égard. L'activité prise en compte sera ainsi de 18 heures et 25 minutes plus le temps d'audience de deux heures cinq minutes, soit 20 heures et 30 minutes, plus la TVA et l'indemnité de déplacement.</w:t>
      </w:r>
    </w:p>
    <w:p>
      <w:r>
        <w:t>En rapport à la répartition des frais, l'indemnité globale accordée à l'appelant pour l'exercice raisonnable de ses droits de procédure sera, à raison d'un tiers des frais d’enquête préliminaire et de première instance à sa charge, respectivement un quart des frais d'appel, de CHF 12'952.75, TVA comprise. Il sera pris acte de sa renonciation à tout tort moral.</w:t>
      </w:r>
    </w:p>
    <w:p>
      <w:r>
        <w:t>* * * * *</w:t>
      </w:r>
    </w:p>
    <w:p>
      <w:r>
        <w:t>- 20/22 - P/1572/2018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