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AARP/323/2015 vom 24. Juli 2015</w:t>
      </w:r>
    </w:p>
    <w:p>
      <w:r>
        <w:t>GE Cour de justice, 2015-07-24, FR</w:t>
      </w:r>
    </w:p>
    <w:p>
      <w:r>
        <w:rPr>
          <w:b/>
        </w:rPr>
        <w:t xml:space="preserve">Quelle: </w:t>
      </w:r>
      <w:r>
        <w:t>https://mcp.opencaselaw.ch/entscheid/ge_gerichte_AARP_323_2015</w:t>
      </w:r>
    </w:p>
    <w:p>
      <w:r>
        <w:t>FR: GE_GERICHTE AARP/323/2015 du 24 juillet 2015</w:t>
      </w:r>
    </w:p>
    <w:p>
      <w:r>
        <w:t>IT: GE_GERICHTE AARP/323/2015 del 24 luglio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 Il s’ensuit que les faits et preuves nouveaux (vrais ou pseudo nova) doivent, en règle générale, être pris en considération autant qu'ils sont pertinents (A. KUHN / Y. JEANNERET (éds), Commentaire romand : Code de procédure pénale suisse,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w:t>
      </w:r>
    </w:p>
    <w:p>
      <w:r>
        <w:t>- 7/13 - P/19276/2013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l'occurrence, l'appelant a présenté pour la première fois devant la CPAR une demande d'audition d'un témoin, soit une personne qui aurait été présente au côté du conducteur du véhicule concerné par le contrôle de police du 23 septembre 2013. Outre que cette demande est tardive, il ne ressort pas de la procédure, en particulier du rapport de police du 24 novembre 2013, que le conducteur concerné par le contrôle du 23 septembre 2013 aurait alors été accompagné d'un passager, celui-là ayant précisé par contre qu'il était allé amener sa sœur à l'aéroport. Les déclarations de cette personne, pour autant qu'elle ait accompagné le conducteur à l'aéroport, ne seraient ainsi pas susceptibles d'apporter des éléments nouveaux quant aux faits reprochés. L'appelant a réitéré par ailleurs, dans son mémoire d'appel motivé, sa demande d'audition de H______, lequel ne s'est pas présenté en première instance, avançant des problèmes d'hospitalisation et/ou de déplacements à l'étranger pour des raisons personnelles, son retour en Suisse pouvant à teneur des dernières pièces produites intervenir au plus tôt le 20 août 2015, sans certitude aucune. Dans la mesure où il est impossible de s'assurer de la présence de cette personne à des débats d'appel dans un délai raisonnable, étant au demeurant relevé que l'appelant a donné son accord à une procédure écrite et n'a présenté cette réquisition de preuve devant la CPAR que tardivement, soit postérieurement à l'OARP du 26 mai 2015, cette demande d'audition sera également rejetée. Au vu des motifs exposés, les réquisitions de preuve présentées par la défense sont rejetées, dans la faible mesure de leur recevabilité. Les éléments contenus dans la procédure sont en tout état suffisants pour traiter l’appel.</w:t>
      </w:r>
    </w:p>
    <w:p>
      <w:r>
        <w:rPr>
          <w:b/>
        </w:rPr>
        <w:t>E. 3</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w:t>
      </w:r>
    </w:p>
    <w:p>
      <w:r>
        <w:t>- 8/13 - P/19276/2013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4</w:t>
      </w:r>
    </w:p>
    <w:p>
      <w:r>
        <w:t>4.1.1. A teneur de l'art. 96 al. 1 let. a LCR, est puni de l'amende quiconque conduit un véhicule automobile sans le permis de circulation ou les plaques de contrôle requis. 4.1.2. L'art. 96 al. 2 LCR punit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 4.1.3. Selon l'art. 60 ch. 1 OAV, est puni de l'amende celui qui ne se sera pas procuré une autorisation exigée, celui qui n'aura pas restitué à temps à l'autorité les plaques de contrôle correspondant à un permis à court terme ou une autorisation d'utiliser un véhicule de remplacement.</w:t>
      </w:r>
    </w:p>
    <w:p>
      <w:r>
        <w:rPr>
          <w:b/>
        </w:rPr>
        <w:t>E. 4.2</w:t>
      </w:r>
    </w:p>
    <w:p>
      <w:r>
        <w:t>En l'espèce, il ressort du rapport de renseignement du 24 novembre 2013 que le conducteur du véhicule C______ portant les plaques d'immatriculation 3______ contrôlé le 23 septembre 2013 devant l'aéroport de Genève a présenté à la police pour se légitimer un titre de séjour 4______ au nom de l'appelant, délivré par les autorités E______, valable du 8 janvier 2013 au 26 octobre 2014, soit le document que l'appelant a présenté au juge de première instance lors de l'audience du 3 mars 2015, et comportant sa photo. Même si la procédure ne contient pas de photo de H______, la CPAR n'a pas de raison de douter du fait que les policiers ayant procédé à l'interrogatoire du conducteur aient fait la vérification usuelle de comparaison de la photo figurant sur cette pièce de légitimation avec la personne interrogée. Par ailleurs, si l'appelant a indiqué que H______ avait par le passé déjà utilisé son identité, il n'a pas expliqué comment son titre de séjour précité serait parvenu en la possession du premier, en particulier le 23 septembre 2013, et dans quelles</w:t>
      </w:r>
    </w:p>
    <w:p>
      <w:r>
        <w:t>- 9/13 - P/19276/2013 circonstances il l'aurait ensuite récupéré, lui permettant ainsi de le présenter au juge de première instance. De plus, la personne contrôlée le 23 septembre 2013 a présenté à la police un permis de circulation correspondant non pas au véhicule C______ stationné devant l'aéroport, mais au véhicule D______ dont l'appelant est détenteur. Il se trouve encore que, lors de son audition à la police le 23 septembre 2013, la personne interrogée a fourni des données personnelles correspondant à celles de l'appelant s'agissant de sa situation familiale et du revenu tiré de l'aide sociale. Enfin, le conducteur entendu à la police a précisé qu'il venait de déposer sa sœur à l'aéroport et a parlé de son ami H______ à la troisième personne, comme étant la personne qui venait de lui vendre le véhicule contrôlé. Partant ce conducteur, sauf dédoublement de personnalité, ne pouvait être H______. Sur la base de ce faisceau d'indices, la CPAR a acquis la conviction que l'appelant était bien la personne contrôlée par la police, au volant d'un véhicule dépourvu d'assurance responsabilité civile, de permis de circulation et muni de plaques attribuées à un autre véhicule. Les mails et autres courriers figurant à la procédure et émanant prétendument de H______ ne renversent pas cette conviction, étant rappelé qu'il n'a pu être entendu durant l'enquête, fournissant diverses excuses comme celles d'être établi au Luxembourg, hospitalisé ou en partance pour le L______, pour ne pas déférer aux convocations. Le jugement de première instance sera donc confirmé dans la mesure où il a reconnu l'appelant coupable d'infractions aux art. 96 al. 1 let. a et 96 al. 2 LCR, ainsi qu'à l'art. 60 ch. 1 OAV.</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w:t>
      </w:r>
    </w:p>
    <w:p>
      <w:r>
        <w:t>- 10/13 - P/19276/2013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rPr>
          <w:b/>
        </w:rPr>
        <w:t>E. 5.2</w:t>
      </w:r>
    </w:p>
    <w:p>
      <w:r>
        <w:t>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w:t>
      </w:r>
    </w:p>
    <w:p>
      <w:r>
        <w:rPr>
          <w:b/>
        </w:rPr>
        <w:t>E. 5.3</w:t>
      </w:r>
    </w:p>
    <w:p>
      <w:r>
        <w:t>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5.4</w:t>
      </w:r>
    </w:p>
    <w:p>
      <w:r>
        <w:t>En l'espèce, l'appelant a fait fi des normes en vigueur en matière de droit de la circulation routière alors qu'il lui aurait été aisément possible de les respecter. Sa faute est singulièrement importante en ce qui concerne la mise en circulation d'un véhicule automobile non couvert par une assurance responsabilité civile compte tenu du danger inhérent à la masse qu'un véhicule en mouvement crée pour les autres usagers. Il a agi par pure convenance personnelle.</w:t>
      </w:r>
    </w:p>
    <w:p>
      <w:r>
        <w:t>- 11/13 - P/19276/2013 L'appelant, jusqu'à et y compris la phase d'appel, conteste l'illicéité de son comportement. Sa prise de conscience est inexistante. Sa situation personnelle n'explique ni ne justifie en aucune manière les infractions commises. Aucune circonstance atténuante n'est réalisée, ni d'ailleurs plaidée. En prononçant une peine pécuniaire de 30 jours-amende, sous déduction de un jour- amende correspondant à un jour de détention avant jugement, le premier juge a tenu compte de l'ensemble de ces éléments. De même, le montant du jour-amende, fixé à CHF 30.-, est adapté à la situation financière de l'appelant, de sorte que tant la quotité de la peine que le montant du jour-amende doivent être confirmés. La mesure de sursis prononcée, dont les conditions sont au demeurant réalisées, est acquise à l'appelant (art. 391 al. 2 CPP). Le délai d'épreuve, arrêté à trois ans, n'est pas critiquable. Enfin, l'amende de CHF 300.- prononcée en première instance pour les contraventions, tenant compte des fautes commises et de la situation de l'auteur, et la peine privative de liberté de substitution fixée à trois jours, doivent également être confirmées.</w:t>
      </w:r>
    </w:p>
    <w:p>
      <w:r>
        <w:rPr>
          <w:b/>
        </w:rPr>
        <w:t>E. 6</w:t>
      </w:r>
    </w:p>
    <w:p>
      <w:r>
        <w:t>Vu l'issue de la procédure, il n'y a pas lieu d'entrer en matière sur les prétentions en indemnisation de l'appelant fondées sur l'art. 429 CPP.</w:t>
      </w:r>
    </w:p>
    <w:p>
      <w:r>
        <w:rPr>
          <w:b/>
        </w:rPr>
        <w:t>E. 7</w:t>
      </w:r>
    </w:p>
    <w:p>
      <w:r>
        <w:t>Dans la mesure où l'appelant succombe, les frais de la procédure seront mis à sa charge, comprenant un émolument de CHF 1'500.- (art. 428 al. 1 CPP). * * * * *</w:t>
      </w:r>
    </w:p>
    <w:p>
      <w:r>
        <w:t>- 12/13 - P/19276/2013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