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AARP/321/2020 vom 17. September 2020</w:t>
      </w:r>
    </w:p>
    <w:p>
      <w:r>
        <w:t>GE Cour de justice, 2020-09-17, FR</w:t>
      </w:r>
    </w:p>
    <w:p>
      <w:r>
        <w:rPr>
          <w:b/>
        </w:rPr>
        <w:t xml:space="preserve">Quelle: </w:t>
      </w:r>
      <w:r>
        <w:t>https://mcp.opencaselaw.ch/entscheid/ge_gerichte_AARP_321_2020</w:t>
      </w:r>
    </w:p>
    <w:p>
      <w:r>
        <w:t>FR: GE_GERICHTE AARP/321/2020 du 17 septembre 2020</w:t>
      </w:r>
    </w:p>
    <w:p>
      <w:r>
        <w:t>IT: GE_GERICHTE AARP/321/2020 del 17 settembre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novembre 2009 consid. 2.1).</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2.2.1. A teneur de l'art. 139 ch. 1 CP, se rend coupable de vol celui qui, pour se procurer ou procurer à un tiers un enrichissement illégitime, aura soustrait une chose mobilière appartenant à autrui dans le but de se l'approprier.</w:t>
      </w:r>
    </w:p>
    <w:p>
      <w:r>
        <w:t>2.2.2. En l'espèce, il est établi et non contesté que l'appelant se trouvait à proximité du lieu où le portemonnaie a été dérobé et qu'il correspond au signalement donné par la victime. Force est cependant de constater que cette dernière n'a pas reconnu son voleur deux jours après les faits sur une planche photographique sur laquelle figurait un cliché de l'appelant, ni lors de l'audience d'appel. S'il est vrai qu'à teneur des déclarations de l'intimé, le vol s'est déroulé rapidement et qu'il faisait sombre, il appert néanmoins que l'intéressé a interagi avec son voleur et qu'il a ainsi pu le voir de très près, de sorte qu'il devrait être capable de le reconnaître s'il se trouvait en sa présence. Au surplus, le signalement donné par l'intimé (homme noir, de 20 à 30 ans, maigre aux cheveux noirs) est en effet susceptible de correspondre à de très nombreuses personnes dans un quartier aussi cosmopolite que celui de la gare. De son côté, l'appelant, qui a immédiatement confirmé sa présence sur les lieux et s'est reconnu sur les images de vidéosurveillance, a toujours nié être l'auteur du vol commis au préjudice de l'intimé, qu'il n'avait d'ailleurs jamais vu auparavant, comme il l'a indiqué lors des débats d'appel. A cela s'ajoute que les images en question, auxquelles la victime n'a jamais été confrontée, ne permettent pas de distinguer cette dernière, mais seulement un groupe de trois individus dont l'appelant s'approche avant de prendre la fuite en courant. Or, s'il est vrai qu'un tel comportement est de nature à éveiller des soupçons, en particulier compte tenu de l'existence d'un casier judiciaire comportant de nombreux antécédents de vol, cet élément ne suffit pas à fonder, à lui seul, la culpabilité de l'appelant. Il y a par conséquent lieu d'acquitter l'appelant de vol et de réformer le jugement sur ce point.</w:t>
      </w:r>
    </w:p>
    <w:p>
      <w:r>
        <w:t>2.3.1. Selon l'art. 115 al. LEI, est puni d'une peine privative de liberté d'un an au plus ou d'une peine pécuniaire quiconque séjourne illégalement en Suisse, notamment</w:t>
      </w:r>
    </w:p>
    <w:p>
      <w:r>
        <w:t>- 7/16 - P/7010/2020 après l'expiration de la durée du séjour non soumis à autorisation ou du séjour autorisé (let. b).</w:t>
      </w:r>
    </w:p>
    <w:p>
      <w:r>
        <w:t>2.3.2. En l'espèce, il ressort de la procédure que l'appelant a séjourné sur le territoire suisse entre le 8 mars et le 25 avril 2020 alors qu'il n'était pas au bénéfice des autorisations nécessaires et était dépourvu d'un passeport valable indiquant sa nationalité, ainsi que de moyens de subsistance suffisants.</w:t>
      </w:r>
    </w:p>
    <w:p>
      <w:r>
        <w:t>A teneur des communications du Conseil fédéral, la fermeture des frontières suisses a été ordonnée en raison de l'épidémie de COVID-19 le 16 mars 2020 et levée le 15 juin 2020. Dans la mesure où l'appelant s'est trouvé dans l'impossibilité objective de quitter le territoire suisse en raison de ces mesures à compter du 16 mars 2020, il ne saurait lui être fait grief d'avoir persisté à séjourner sur le territoire helvétique à compter de cette date, indépendamment de son intention de le faire ou pas. Partant, il sera acquitté du chef de séjour illégal pour la période postérieure au 16 mars 2020 et sa condamnation sera confirmée pour le surplus.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w:t>
      </w:r>
    </w:p>
    <w:p>
      <w:r>
        <w:t>- 6/16 - P/7010/2020 fédéral 6B_1145/2014 du 26 novembre 2016 consid. 1.2 et 6B_748/2009 du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w:t>
      </w:r>
    </w:p>
    <w:p>
      <w:r>
        <w:t>- 8/16 - P/7010/2020 (ATF 135 IV 87 consid. 2 p. 89). Les antécédents judiciaires ne sauraient toutefois conduire à une augmentation massive de la peine, parce que cela reviendrait à condamner une deuxième fois pour des actes déjà jugés (ATF 120 IV 136 consid. 3b p. 145). 3.3.1.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3.3.2.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arrêts du Tribunal fédéral 6B_952/2016,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w:t>
      </w:r>
    </w:p>
    <w:p>
      <w:r>
        <w:t>- 9/16 - P/7010/2020 p. 115 et les références). Il doit s'agir de peines de même genre (ATF 142 IV 265 consid. 2.3.2 et les références = JdT 2017 IV 129).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du Tribunal fédéral 6B_1141/2017 du 7 juin 2018 consid. 4.1). Dans ce contexte, le juge doit procéder selon les principes de l'art. 49 al. 1 CP (ATF 142 IV 265 consid. 2.3.3 p. 268; 138 IV 120 consid. 5.2 p. 122 s.). La peine complémentaire est constituée de la différence entre cette peine d'ensemble et la peine de base, à savoir celle prononcée précédemment (ATF 141 IV 61 consid. 6.1.2 p. 67; 6B_1141/2017 précité consid. 4.1). Bien que le deuxième tribunal doive fixer la peine d'ensemble,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w:t>
      </w:r>
    </w:p>
    <w:p>
      <w:r>
        <w:rPr>
          <w:b/>
        </w:rPr>
        <w:t>E. 3.4</w:t>
      </w:r>
    </w:p>
    <w:p>
      <w:r>
        <w:t>Depuis le 1er janvier 2018, le juge ne peut prononcer une peine privative de liberté que s'il y a lieu d'admettre qu'une peine pécuniaire ne paraît pas justifiée pour détourner l'auteur d'autres crimes ou délits ou s'il y a lieu de craindre qu'une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Le nombre de jours-amende et leur montant unitaire doivent être prévus par l'art. 34 CP. Lorsque le pronostic s'avère défavorable, le prononcé d'une peine privative de liberté devrait s'imposer (par analogie avec l'ancien droit s'agissant du choix de la peine : ATF 134 IV 60) (M. DUPUIS / L. MOREILLON / C. PIGUET / S. BERGER / M. MAZOU / V. RODIGARI [éds], Code pénal - Petit commentaire, 2ème éd., Bâle 2017,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[éds], op. cit., n. 3, ad art. 41 [1.1.2018]).</w:t>
      </w:r>
    </w:p>
    <w:p>
      <w:r>
        <w:t>- 10/16 - P/7010/2020 3.5.1. Les infractions de non-respect d'une assignation à un lieu de résidence et de séjour illégal sont punissables d’une peine privative de liberté de trois ans au plus, respectivement d'un an au plus, ou d’une peine pécuniaire. Quant à l'infraction de l'art. 286 CP (empêchement d'accomplir un acte officiel), elle est punie d’une peine pécuniaire de 30 jours-amende au plus. 3.5.2. La faute de l'appelant n'est pas négligeable. Il a persisté à séjourner en Suisse sans être au bénéfice des autorisations nécessaires, alors même qu'il faisait l'objet d'une décision d'interdiction d'y entrer depuis le 29 janvier 2009 et nonobstant de nombreuses condamnations ultérieures. Si les actes reprochés sont certes de courte durée et n'ont causé qu'un trouble faible à l'ordre public, il ne faut pas sous-estimer le préjudice causé à la collectivité, puisque cela mobilise constamment les nombreux acteurs appelés à le réprimer. Le comportement de l'appelant démontre qu'il fait fi des décisions de l'autorité et que les sanctions ne semblent avoir aucune influence sur ses actes. Sa situation personnelle est certainement précaire, mais cela ne justifie pas son comportement. Sa collaboration à la procédure a été bonne, dans la mesure où il a rapidement admis les faits pour lesquels il est finalement condamné. Sa prise de conscience du caractère illicite de ses agissements et son amendement sont à relativiser au regard de ses seize condamnations précédentes depuis 2008, notamment pour des faits similaires, qui ne l'ont pas découragé de récidiver. Il a certes reconnu sa culpabilité évidente, mais ses antécédents spécifiques montrent qu'il n'a tiré aucun enseignement du caractère répréhensible de ses agissements. Cette persévérance dans la commission répétée d'infractions ne peut que conduire au prononcé d'une sanction sévère. Si l'appelant a manifesté son intention de quitter la Suisse pour s'établir en Italie afin d'y trouver un travail, la CPAR ne peut s'appuyer sur aucun élément au dossier attestant de la réalité de sa détermination, ni même de liens en Italie. Une peine pécuniaire est ainsi exclue aussi bien de par la situation de l'appelant, sans revenu ni fortune, que par l'absence de tout effet dissuasif d'une telle peine sur lui, sa précédente condamnation à une peine de ce genre ne l'ayant pas incité à se conformer à la législation suisse. Seule une peine privative de liberté ferme apparaît justifiée en l'espèce, ce que l'appelant ne conteste au demeurant pas. 3.5.3. Les agissements de l'appelant poursuivis dans la présente procédure remontent aux mois de mars et avril 2020 et sont donc en partie antérieurs à la condamnation du</w:t>
      </w:r>
    </w:p>
    <w:p>
      <w:r>
        <w:rPr>
          <w:b/>
        </w:rPr>
        <w:t>E. 7</w:t>
      </w:r>
    </w:p>
    <w:p>
      <w:r>
        <w:t>mars 2020 prononcée par le MP à l'occasion de laquelle l'intimé s'est vu infliger une peine privative de liberté de 70 jours, sous déduction d'un jour avant jugement, pour vol, séjour illégal et infractions à l'art. 119 LEI (première peine de base).</w:t>
      </w:r>
    </w:p>
    <w:p>
      <w:r>
        <w:t>- 11/16 - P/7010/2020 Ils sont également antérieurs à la condamnation prononcée par la CPAR le 15 mai 2020 à une peine privative de liberté de 13 mois, une peine pécuniaire de 30 jours- amende à CHF 10.- l'unité, ainsi qu'une amende de CHF 100.- pour brigandage, lésions corporelles simples, injure, vol entrée illégale, séjour illégal, ainsi que délits et contravention contre la LStup (seconde peine de base, complémentaire à celle prononcée le 7 mars 2020). Conformément à la jurisprudence, il convient de tenir compte du concours réel rétrospectif au sens de l'art. 49 al. 2 CP. La CPAR considère que si elle avait eu à connaître en même temps de toutes les infractions, elle aurait prononcé une peine d'ensemble hypothétique de 20 mois et dix jours (quatre mois qui devraient sanctionner le non-respect à une assignation à un lieu de résidence, infraction la plus grave en l'espèce, et, par le jeu de concours selon l'art. 49 al. 1 CP, un mois pour le séjour illégal [peine hypothétique de deux mois], auxquels il faut ajouter 15 mois et dix jours correspondant aux deux peines de base cumulées. La peine complémentaire, constituée de la différence entre cette peine d'ensemble (20 mois et 10 jours) et les peines de base (15 mois et 10 jours), sera dès lors de 5 mois. C'est en définitive une peine privative de liberté complémentaire de cinq mois qui sera donc prononcée. S'y ajoute la confirmation de la peine pécuniaire, seule peine-menace prévue par l'art. 286 CP, de 10 jours-amende à CHF 10.- l'unité, ainsi que de l'amende de CHF 200.- pour la contravention à la LStup. 4. 4.1.1.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4.1.2. Tant l'application de l'art. 66a al. 2 CP que de l'art. 66abis CP imposent le respect du principe de proportionnalité. En d'autres termes, le juge doit faire une pesée des intérêts entre celui public à l'éloignement et la situation personnelle du condamné (G. FIOLKA / L. VETTERLI, Landesverweisung nach Art. 66a StGB als strafrechtliche Sanktion, Cahier spécial, in Plädoyer 5/16, p. 87). 4.1.3. La durée de l'expulsion n'a pas à être symétrique à celle de la peine prononcée (arrêts du Tribunal fédéral 6B_549/2019 du 29 mai 2019 consid. 2.3 et 6B_242/2019 du 18 mars 2019 consid. 1.3). 4.2. En l'espèce, l'appelant conteste le prononcé de son expulsion, sans motivation particulière, si ce n'est la présence de ses deux enfants en Suisse, ainsi que l'absence de lien avec son pays d'origine.</w:t>
      </w:r>
    </w:p>
    <w:p>
      <w:r>
        <w:t>- 12/16 - P/7010/2020 Or, au vu de ses antécédents, il est durablement inscrit dans la délinquance, puisqu'il a été condamné à 16 reprises depuis 2008, de surcroît pour des infractions non dénuées de gravité. Son comportement témoigne de son incapacité à respecter l'ordre juridique suisse et les sanctions prononcées contre lui ne parviennent pas à le détourner de la commission de nouvelles infractions. Il est en particulier à craindre que le recourant menace à nouveau l'ordre et la sécurité publics. La durée de son séjour en Suisse est certes longue, mais sa portée doit être relativisée dès lors qu'il n'a jamais été autorisé. L'appelant dit certes être le père de deux enfants âgés de 7 et 8 ans vivant à Genève avec leur mère, mais il n'a pas justifié de l'existence d'une relation étroite avec ces derniers, de sorte qu'il ne saurait se prévaloir de l'art. 8 par. 1 CEDH. Il ne s'est jamais intégré, se prêtant à la délinquance une fois en liberté et, du fait de son statut administratif, n'a jamais eu d'activité professionnelle déclarée. Les années passées en Suisse ne lui ont ainsi pas permis de créer de liens sociaux et professionnels particuliers, comme le démontre d'ailleurs le fait qu'il ait indiqué à plusieurs reprises souhaiter quitter la Suisse pour l'Italie afin d'y retrouver une partie de sa famille et d'y chercher un travail. Rien ne permet par ailleurs de penser que sa réintégration au Soudan serait particulièrement difficile, étant précisé que le fait qu'il n'y connaisse plus personne, comme il l'affirme, ne constitue pas un empêchement à l'expulsion. L'intérêt public à l'expulsion de l'appelant est manifeste au regard de ses très nombreux antécédents spécifiques et du risque de récidive. L'expulsion facultative de l'appelant sera par conséquent confirmée, sans qu'il n'y ait lieu à de plus amples développements, la durée de cette mesure prononcée en première instance – soit cinq ans – apparaissant comme proportionnée aux circonstances du cas d'espèce. Il n'y a pas lieu d'étendre la mesure d'expulsion prononcée à l'ensemble de l'espace Schengen, l'expulsion du territoire suisse suffisant à atteindre le but recherché. 5. 5.1.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aux ATF 145 IV 90). 5.2. Dans la mesure où un acquittement est prononcé en appel en relation avec l'infraction de vol et que la période pénale concernant le séjour illégal a été réduite, l'appelant sera condamné à supporter les deux tiers des frais de première instance, hors émolument complémentaire de jugement, le solde étant laissé à la charge de l'Etat.</w:t>
      </w:r>
    </w:p>
    <w:p>
      <w:r>
        <w:t>- 13/16 - P/7010/2020 5.3. L'appelant ayant eu entièrement gain de cause en dernière instance, à l'exception de l'expulsion, il sera condamné à un tiers des frais de la procédure d'appel comprenant un émolument de CHF 1'500.- (art. 14 al. 1 let. e du règlement fixant le tarif des frais en matière pénale [RTFMP]), ainsi que de l'émolument complémentaire de première instance, le solde étant laissé à la charge de l'Etat. 6. Considéré globalement, l'état de frais produit par Me C______, défenseur d'office de A______, satisfait les exigences légales et jurisprudentielles régissant l'assistance judiciaire gratuite en matière pénale, à l'exception du temps consacré à l'étude du dossier, qui sera indemnisé à hauteur de deux heures uniquement, compte tenu de la connaissance préalable du dossier et de l'absence de complexité de la cause. Il convient également de le compléter de la durée de l'audience (1 heure) et d'une vacation d'un montant de CHF 100.- en raison du déplacement de l'avocat au Palais de justice pour l'audience d'appel.</w:t>
      </w:r>
    </w:p>
    <w:p>
      <w:r>
        <w:t>La rémunération de Me C______ sera partant arrêtée à CHF 2'455.55 correspondant à neuf heures d'activité au tarif de CHF 200.-/heure plus la majoration forfaitaire de 20% et l'équivalent de la TVA au taux de 7.7% en CHF 175.55. * * * * *</w:t>
      </w:r>
    </w:p>
    <w:p>
      <w:r>
        <w:t>- 14/16 - P/7010/2020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