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AARP/320/2022 vom 27. Oktober 2022</w:t>
      </w:r>
    </w:p>
    <w:p>
      <w:r>
        <w:t>GE Cour de justice, 2022-10-27, FR</w:t>
      </w:r>
    </w:p>
    <w:p>
      <w:r>
        <w:rPr>
          <w:b/>
        </w:rPr>
        <w:t xml:space="preserve">Quelle: </w:t>
      </w:r>
      <w:r>
        <w:t>https://mcp.opencaselaw.ch/entscheid/ge_gerichte_AARP_320_2022</w:t>
      </w:r>
    </w:p>
    <w:p>
      <w:r>
        <w:t>FR: GE_GERICHTE AARP/320/2022 du 27 octobre 2022</w:t>
      </w:r>
    </w:p>
    <w:p>
      <w:r>
        <w:t>IT: GE_GERICHTE AARP/320/2022 del 27 ottobre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À teneur de l'art. 115 al. 1 let. b LEI, est puni d'une peine privative de liberté d'un an au plus ou d'une peine pécuniaire quiconque séjourne illégalement en Suisse, notamment après l'expiration de la durée du séjour non soumis à autorisation ou du séjour autorisé.</w:t>
      </w:r>
    </w:p>
    <w:p>
      <w:r>
        <w:t>2.1.2. Selon l'art. 119 al. 1 LEI, est puni d'une peine privative de liberté de trois ans au plus ou d'une peine pécuniaire quiconque enfreint une interdiction de pénétrer dans une région déterminée.</w:t>
      </w:r>
    </w:p>
    <w:p>
      <w:r>
        <w:t>2.1.3. L’art. 19 al. 1 LStup punit d’une peine privative de liberté de trois ans au plus ou d’une peine pécuniaire, celui qui, sans droit, aliène, prescrit des stupéfiants, en procure de toute autre manière à un tiers ou en met dans le commerce (let. c), possède, détient, acquiert des stupéfiants ou s'en procure de toute autre manière (let. d).</w:t>
      </w:r>
    </w:p>
    <w:p>
      <w:r>
        <w:t>2.1.4. L'appelant ne conteste pas sa culpabilité des chefs de séjour illégal, violation d'une interdiction de pénétrer dans une région déterminée et délit à la LStup.</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w:t>
      </w:r>
    </w:p>
    <w:p>
      <w:r>
        <w:t>- 6/13 - P/6860/2021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Bien que la récidive ne constitue plus un motif d'aggravation obligatoire de la peine (art. 67 aCP), les antécédents continuent de jouer un rôle très important dans la fixation de celle-ci (M. NIGGLI / H. WIPRÄCHTIGER [éds], Basler Kommentar Strafrecht, 4ème éd.,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N. QUELOZ / A. MACALUSO / N. DONGOIS [éds], Commentaire romand, Code pénal I, 2ème éd., 2021, n. 54 ad art. 47). Une série d'infractions semblables pèse plus lourd que des actes de nature différente. Les condamnations passées perdent de leur importance avec l'écoulement du temps (ATF 135 IV 87 consid. 2 p. 89).</w:t>
      </w:r>
    </w:p>
    <w:p>
      <w:r>
        <w:rPr>
          <w:b/>
        </w:rPr>
        <w:t>E. 2.3</w:t>
      </w:r>
    </w:p>
    <w:p>
      <w:r>
        <w:t>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w:t>
      </w:r>
    </w:p>
    <w:p>
      <w:r>
        <w:t>- 7/13 - P/6860/2021 MOREILLON / C. PIGUET / S. BERGER / M. MAZOU / V. RODIGARI, Petit commentaire du Code pénal, 2ème éd., 2017, n. 3 ad art. 41).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 6 décembre 2012 C-430/11 SAGOR) alors que tel n'est pas le cas du prononcé d'une peine privative de liberté.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w:t>
      </w:r>
    </w:p>
    <w:p>
      <w:r>
        <w:rPr>
          <w:b/>
        </w:rPr>
        <w:t>E. 2.4</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w:t>
      </w:r>
    </w:p>
    <w:p>
      <w:r>
        <w:rPr>
          <w:b/>
        </w:rPr>
        <w:t>E. 2.5</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w:t>
      </w:r>
    </w:p>
    <w:p>
      <w:r>
        <w:t>- 8/13 - P/6860/2021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w:t>
      </w:r>
    </w:p>
    <w:p>
      <w:r>
        <w:t>2.6.1. En l'espèce, les précédentes condamnations de l'appelant pour le même type d'infractions à des peines pécuniaires, prononcées à réitérés reprises depuis 2016, n'ont pas eu l'effet dissuasif escompté.</w:t>
      </w:r>
    </w:p>
    <w:p>
      <w:r>
        <w:t>L'appelant ne dispose d'aucune source de revenu légale ce qui rend illusoire toute perspective de recouvrement d'une peine pécuniaire. L'affirmation selon laquelle sa compagne subviendrait à ses besoins n'est pas de nature à modifier cette appréciation. Outre le fait que cette allégation n'est étayée par aucune pièce et qu'on ignore la situation financière de sa compagne, il est évident que la peine pécuniaire doit être assumée par la personne condamnée et non par un tiers, fût-il un proche. La sanction pénale a un caractère éminemment personnel et doit être subie par l’auteur de l’infraction.</w:t>
      </w:r>
    </w:p>
    <w:p>
      <w:r>
        <w:t>L'appelant qui affirme qu'une peine privative de liberté prétériterait son avenir, ne produit aucune pièce étayant la réalité d'un quelconque projet. Il n'existe en particulier aucune preuve de dépôt d'une demande de régularisation de son statut administratif en Suisse ou ailleurs en Europe.</w:t>
      </w:r>
    </w:p>
    <w:p>
      <w:r>
        <w:t>En l'occurrence, la Directive européenne sur le retour n'est pas applicable dans la mesure où l'appelant s'est, outre la LEI, rendu coupable d'un délit à la LStup.</w:t>
      </w:r>
    </w:p>
    <w:p>
      <w:r>
        <w:t>Ainsi, les éléments qui précèdent imposent de confirmer le choix du genre de peine pour les trois infractions en cause.</w:t>
      </w:r>
    </w:p>
    <w:p>
      <w:r>
        <w:t>2.6.2. Le casier judiciaire de l'appelant est émaillé de condamnations. Par ailleurs, interpelé une première fois en mars 2021, il l'a été une seconde fois, pour les mêmes faits, en août 2021, soit à peine quelques mois plus tard. Il a accumulé les récidives dans un laps de temps limité et, contrairement à ce qu'il soutient, il n'a pas démontré d'évolution concrète dans sa situation ni une volonté particulière de se prendre en main à l'avenir. Dès lors, on ne voit guère pour quelles raisons le prononcé d'une peine assortie du sursis permettrait cette fois-ci de le détourner d'autres délits.</w:t>
      </w:r>
    </w:p>
    <w:p>
      <w:r>
        <w:t>- 9/13 - P/6860/2021</w:t>
      </w:r>
    </w:p>
    <w:p>
      <w:r>
        <w:t>Partant, le pronostic quant au comportement futur de l'appelant doit être considéré comme défavorable.</w:t>
      </w:r>
    </w:p>
    <w:p>
      <w:r>
        <w:t>2.6.3. La faute de l'appelant n'est pas de peu d'importance. Il persiste, depuis de nombreuses années, à séjourner en Suisse dans l'illégalité, en violation de la législation en vigueur et des décisions d'expulsion dont il fait l'objet, à l'égard desquelles il fait preuve d'un mépris évident, et monopolise de ce fait régulièrement des acteurs appelés à assurer le respect de la loi, ce qui cause un préjudice à la collectivité. De surcroît, il participe à la mise sur le marché d'une substance illicite contribuant ainsi au fléau que représente sa consommation pour la santé publique, fût-ce de la drogue "douce". La période pénale en cause s'étend sur une durée non négligeable, soit environ une année, et porte sur une quantité de drogue qui n'est pas dérisoire.</w:t>
      </w:r>
    </w:p>
    <w:p>
      <w:r>
        <w:t>Ses nombreux antécédents spécifiques démontrent le peu de poids qu'il porte aux sanctions dont il fait l'objet et témoignent d'une volonté délictuelle qui s'enlise au fil des ans. Sa situation personnelle peut partiellement expliquer ses actes mais ne les justifie pas, l'appelant s'entêtant à séjourner en Suisse où il n'a aucune perspective de gain licite. Il ne démontre pas avoir entrepris une quelconque démarche en vue de régulariser sa situation administrative.</w:t>
      </w:r>
    </w:p>
    <w:p>
      <w:r>
        <w:t>Il y a concours d'infractions ce qui constitue un facteur aggravant.</w:t>
      </w:r>
    </w:p>
    <w:p>
      <w:r>
        <w:t>Il faut relever que sa collaboration dans la procédure a été plutôt bonne.</w:t>
      </w:r>
    </w:p>
    <w:p>
      <w:r>
        <w:t>Les infractions aux art. 119 LEI et 19 al. 1 LStup étant passibles de la même sanction, il sera retenu que celle abstraitement la plus grave correspond au trafic de stupéfiants qui emporte une peine privative de liberté de l'ordre de 60 jours, laquelle constitue la peine de base. Celle-ci devrait être augmentée de 30 jours (peine théorique : 60 jours) pour tenir compte de la violation de l'interdiction de pénétrer dans un territoire déterminé et de 45 jours (peine théorique : 90 jours) pour tenir compte du séjour illégal. Cependant, compte tenu de l'interdiction de la reformatio in pejus (art. 391 al. 2 CPP), la CPAR ne peut pas aller au-delà de la peine prononcée par le premier juge qui sera donc confirmée. La détention subie avant jugement sera déduite (art. 51 CP). 3. L'appelant, qui succombe, supportera les frais de la procédure envers l'État comprenant un émolument de CHF 1'500.- (art. 428 CPP et 14 al. 1 let. e du règlement fixant le tarif des frais en matière pénale [RTFMP]).</w:t>
      </w:r>
    </w:p>
    <w:p>
      <w:r>
        <w:t>- 10/13 - P/6860/2021</w:t>
      </w:r>
    </w:p>
    <w:p>
      <w:r>
        <w:t>Vu l'issue de la procédure d'appel, il n'y a pas lieu de revenir sur la répartition des frais de première instance, la mise à la charge de l'appelant de la totalité des frais sera confirmée (art. 426 al. 1 CPP). 4. L'état de frais produit par Me B______, défenseure d'office de l'appelant, satisfait les exigences légales régissant l'assistance judiciaire.</w:t>
      </w:r>
    </w:p>
    <w:p>
      <w:r>
        <w:t>Sa rémunération sera partant arrêtée à CHF 646.20 correspondant à 2h30 d'activité au tarif de CHF 200.-/heure (CHF 500.-), au forfait de 20% (CHF 100.-) ainsi qu'à la TVA au taux de 7.7% (CHF 46.20). * * * * *</w:t>
      </w:r>
    </w:p>
    <w:p>
      <w:r>
        <w:t>- 11/13 - P/6860/2021</w:t>
      </w:r>
    </w:p>
    <w:p>
      <w:r>
        <w:rPr>
          <w:b/>
        </w:rPr>
        <w:t>E. 6</w:t>
      </w:r>
    </w:p>
    <w:p>
      <w:r>
        <w:t>décembre 2011 C- 329/11 ACHUGHBABIAN, ch.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