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AARP/320/2020 vom 18. September 2020</w:t>
      </w:r>
    </w:p>
    <w:p>
      <w:r>
        <w:t>GE Cour de justice, 2020-09-18, FR</w:t>
      </w:r>
    </w:p>
    <w:p>
      <w:r>
        <w:rPr>
          <w:b/>
        </w:rPr>
        <w:t xml:space="preserve">Quelle: </w:t>
      </w:r>
      <w:r>
        <w:t>https://mcp.opencaselaw.ch/entscheid/ge_gerichte_AARP_320_2020</w:t>
      </w:r>
    </w:p>
    <w:p>
      <w:r>
        <w:t>FR: GE_GERICHTE AARP/320/2020 du 18 septembre 2020</w:t>
      </w:r>
    </w:p>
    <w:p>
      <w:r>
        <w:t>IT: GE_GERICHTE AARP/320/2020 del 18 settembre 2020</w:t>
      </w:r>
    </w:p>
    <w:p>
      <w:pPr>
        <w:pStyle w:val="Heading2"/>
      </w:pPr>
      <w:r>
        <w:t>Erwägungen</w:t>
      </w:r>
    </w:p>
    <w:p>
      <w:r>
        <w:rPr>
          <w:b/>
        </w:rPr>
        <w:t>E. 1.1</w:t>
      </w:r>
    </w:p>
    <w:p>
      <w:r>
        <w:t>La Chambre pénale d'appel et de révision (CPAR) est l'autorité compétente en matière de révision (art. 21 al. 1 let. b CPP cum art. 130 al. 1 let. a de la loi d'organisation judiciaire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du 1er décembre 2018 fondée sur l'art. 410 al. 1 let. a CPP est ainsi recevable.</w:t>
      </w:r>
    </w:p>
    <w:p>
      <w:r>
        <w:rPr>
          <w:b/>
        </w:rPr>
        <w:t>E. 2</w:t>
      </w:r>
    </w:p>
    <w:p>
      <w:r>
        <w:t>2.1.1. L'art. 410 al. 1 let. a CPP permet à toute personne lésée par un jugement entré en force d'en demander la révision s'il existe des faits ou des moyens de preuve qui</w:t>
      </w:r>
    </w:p>
    <w:p>
      <w:r>
        <w:t>- 6/13 - P/23806/2018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ATF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2.1.2. Le fait que le recourant a eu connaissance des faits ou moyens de preuve au moment du jugement de condamnation n'importe pas. Cette conception trouve sa confirmation dans l'énoncé légal de l'art. 410 CPP, qui parle de faits ou de moyens de preuve inconnus de l'autorité inférieure. Elle résulte en particulier de ce qu'en procédure pénale, il incombe à l'accusation de prouver la culpabilité de l'auteur (ATF 130 IV 72 consid. 2.2 p. 74; 116 IV 353 consid. 3a p. 357; 69 IV 134 consid. 4 p. 138). 2.1.3.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6B_1061/2019 du 28 mai 2020 consid. 3.3 et références citées; 6B_415/2012 du 14 décembre 2012 consid. 2.3; 6B_942/2010 du</w:t>
      </w:r>
    </w:p>
    <w:p>
      <w:r>
        <w:rPr>
          <w:b/>
        </w:rPr>
        <w:t>E. 3</w:t>
      </w:r>
    </w:p>
    <w:p>
      <w:r>
        <w:t>3.1.1. La détention de stupéfiants au sens de l'art. 19 al. 1 let. d LStup est sanctionnée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- 9/13 - P/23806/2018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w:t>
      </w:r>
    </w:p>
    <w:p>
      <w:r>
        <w:t>3.1.4.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3.2</w:t>
      </w:r>
    </w:p>
    <w:p>
      <w:r>
        <w:t>En l'espèce, la faute du prévenu n'est pas de peu d'importance. L'intéressé persiste à violer la législation en matière de stupéfiants, malgré nombre de condamnations pour des faits similaires.</w:t>
      </w:r>
    </w:p>
    <w:p>
      <w:r>
        <w:t>Il n'a tiré aucune leçon de ses précédentes condamnations, dont à des peines privatives de liberté de 3 mois, respectivement de 150 jours antérieures aux faits reprochés, dès lors qu'il a récidivé le lendemain de sa sortie de prison. Le pronostic le concernant est clairement défavorable. Les conditions du sursis ne sont pas réalisées et seule une peine privative de liberté est à même d'atteindre le but de prévention spéciale pour l'infraction en cause, genre de peine que le prévenu ne conteste au demeurant pas. Au vu de ce qui précède, une peine privative de liberté de trois mois paraît justifiée et sera prononcée. L'amende sanctionnant la contravention à la LStup, non contestée, sera pour le surplus confirmée.</w:t>
      </w:r>
    </w:p>
    <w:p>
      <w:r>
        <w:t>- 10/13 - P/23806/2018</w:t>
      </w:r>
    </w:p>
    <w:p>
      <w:r>
        <w:rPr>
          <w:b/>
        </w:rPr>
        <w:t>E. 4</w:t>
      </w:r>
    </w:p>
    <w:p>
      <w:r>
        <w:t>4.1.1. Si le condamné est acquitté ou que sa peine est réduite, ou si la procédure est classée, le montant des amendes ou des peines pécuniaires perçues en trop lui est remboursé. Les prétentions du prévenu en matière de dommages-intérêts ou de réparation du tort moral sont régies par l'art. 436 al. 4 CPP (art. 415 al. 2 CPP).</w:t>
      </w:r>
    </w:p>
    <w:p>
      <w:r>
        <w:t>4.1.2.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(art. 436 al. 4 CPP).</w:t>
      </w:r>
    </w:p>
    <w:p>
      <w:r>
        <w:rPr>
          <w:b/>
        </w:rPr>
        <w:t>E. 4.2</w:t>
      </w:r>
    </w:p>
    <w:p>
      <w:r>
        <w:t>En l'espèce, le demandeur a été privé à tort de sa liberté à concurrence de trois mois. Il n'y a toutefois pas lieu de l'indemniser dans la mesure où cette détention sera imputée sur la sanction prononcée par le TP le 25 août 2020 (cf. art. 51 CP).</w:t>
      </w:r>
    </w:p>
    <w:p>
      <w:r>
        <w:rPr>
          <w:b/>
        </w:rPr>
        <w:t>E. 5</w:t>
      </w:r>
    </w:p>
    <w:p>
      <w:r>
        <w:t>Vu l'issue de la procédure, les frais de la procédure de révision seront laissés à la charge de l'Etat (cf. art. 428 al. 1 CPP).</w:t>
      </w:r>
    </w:p>
    <w:p>
      <w:r>
        <w:t>Il n'y a pas lieu en revanche de revenir sur les frais de la procédure préliminaire, dès lors que les actes d'instruction auraient été exactement les mêmes en l'absence de mise en prévention du demandeur pour rupture de ban (cf. art. 428 al. 3 CPP).</w:t>
      </w:r>
    </w:p>
    <w:p>
      <w:r>
        <w:rPr>
          <w:b/>
        </w:rPr>
        <w:t>E. 6</w:t>
      </w:r>
    </w:p>
    <w:p>
      <w:r>
        <w:t>Considéré globalement, l'état de frais produit par Me C______, défenseur d'office de A______ satisfait les exigences légales et jurisprudentielles régissant l'assistance judiciaire gratuite en matière pénale, sous réserve de 4h15 (3h45 et 0h30) d'activité de l'avocat-stagiaire, lesquelles apparaissent comme de la formation, à tout le moins ne sont pas justifiées au regard du solde des heures facturées correct en terme d'enjeux de la procédure et d'écritures produites.</w:t>
      </w:r>
    </w:p>
    <w:p>
      <w:r>
        <w:t>La rémunération de Me C______ sera partant arrêtée à CHF 1'935.35 correspondant à 6h15 d'activité de chef d'étude au tarif de CHF 200.-/heure, respectivement à 2h15 d'activité d'avocat-stagiaire au tarif de CHF 100.-/heure, plus la majoration forfaitaire de 20% et l'équivalent de la TVA au taux de 7.7% en CHF 138.35. ***</w:t>
      </w:r>
    </w:p>
    <w:p>
      <w:r>
        <w:t>- 11/13 - P/23806/2018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