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AARP/31/2018 vom 31. Januar 2018</w:t>
      </w:r>
    </w:p>
    <w:p>
      <w:r>
        <w:t>GE Cour de justice, 2018-01-31, FR</w:t>
      </w:r>
    </w:p>
    <w:p>
      <w:r>
        <w:rPr>
          <w:b/>
        </w:rPr>
        <w:t xml:space="preserve">Quelle: </w:t>
      </w:r>
      <w:r>
        <w:t>https://mcp.opencaselaw.ch/entscheid/ge_gerichte_AARP_31_2018</w:t>
      </w:r>
    </w:p>
    <w:p>
      <w:r>
        <w:t>FR: GE_GERICHTE AARP/31/2018 du 31 janvier 2018</w:t>
      </w:r>
    </w:p>
    <w:p>
      <w:r>
        <w:t>IT: GE_GERICHTE AARP/31/2018 del 31 gennaio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- 9/25 - P/24576/2016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Aux termes de l'art. 20 CP, le juge ordonne une expertise s'il existe une raison sérieuse de douter de la responsabilité de l'auteur.</w:t>
      </w:r>
    </w:p>
    <w:p>
      <w:r>
        <w:t>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w:t>
      </w:r>
    </w:p>
    <w:p>
      <w:r>
        <w:t>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ATF 116 IV 273 consid. 4a p. 274 ; 102 IV 74 consid. 1b p. 75 s.).</w:t>
      </w:r>
    </w:p>
    <w:p>
      <w:r>
        <w:t>Une capacité délictuelle diminuée ne doit cependant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116 IV 273 consid. 4b p. 276).</w:t>
      </w:r>
    </w:p>
    <w:p>
      <w:r>
        <w:rPr>
          <w:b/>
        </w:rPr>
        <w:t>E. 2.2</w:t>
      </w:r>
    </w:p>
    <w:p>
      <w:r>
        <w:t>En l'occurrence, les considérations exprimées par la Dresse O______ au sujet de l'état psychique de l'appelant, se fondent en grande partie sur les indications fournies par ce dernier en relation avec un parcours de vie difficile et marqué par la violence. Elles ne permettent pas de conclure que la capacité de celui-ci d'apprécier le caractère illicite des vols commis ou de se déterminer d'après celle-ci aurait été diminuée, surtout que le médecin traitant n'est pas psychiatre. L'appelant a admis avoir agi pour obtenir de l'argent facilement, estimant que l'aide sociale qu'il percevait n'était pas suffisante. Cette explication le place sur le même plan que les autres délinquants qui commettent des infractions contre le patrimoine et ne trahit aucune désorganisation de la pensée ou autre insuffisance du développement mental.</w:t>
      </w:r>
    </w:p>
    <w:p>
      <w:r>
        <w:t>Les déclarations du témoin P______, selon lesquelles l'appelant peut se montrer un bon élève lorsqu'il travaille avec assiduité, comprend le cadre qui lui est fixé pour sa</w:t>
      </w:r>
    </w:p>
    <w:p>
      <w:r>
        <w:t>- 10/25 - P/24576/2016 scolarisation et est intégré à l'école, corroborent cette appréciation et appuient l'existence de facultés cognitives et volitives dans la norme.</w:t>
      </w:r>
    </w:p>
    <w:p>
      <w:r>
        <w:t>Ses antécédents judiciaires ne justifient pas davantage de remettre en cause sa pleine responsabilité pénale, sauf à considérer que tout individu qui se comporterait de la sorte serait suspect de présenter une capacité délictuelle diminuée. Ils démontrent qu'au contraire, celle-ci n'a jamais prêté à discussion.</w:t>
      </w:r>
    </w:p>
    <w:p>
      <w:r>
        <w:t>Enfin, on peine à comprendre pour quelle raison l'appelant se réfère aux conditions qui prévalaient au sein des orphelinats roumains à l'époque de la dictature de Nicolae CEAUSESCU (cf. pièces 9 et 10 de son chargé du 19 décembre 2017), alors qu'il est né en 1998 à teneur du dossier, soit bien après l'effondrement, à la fin des années '80, des régimes communistes en Europe de l'Est, celui de Nicolae CEAUSESCU étant tombé en décembre 1989.</w:t>
      </w:r>
    </w:p>
    <w:p>
      <w:r>
        <w:t>Aussi, avec le premier juge, la CPAR n'éprouve aucun doute sur la responsabilité pénale de l'appelant.</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w:t>
      </w:r>
    </w:p>
    <w:p>
      <w:r>
        <w:t>- 11/25 - P/24576/2016 consid. 2a p. 41 ; arrêt du Tribunal fédéral 6B_784/2011 du 12 mars 2012 consid. 1.1).</w:t>
      </w:r>
    </w:p>
    <w:p>
      <w:r>
        <w:t>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3.2.1.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La jurisprudence exige même que le coauteur ait une certaine maîtrise des opérations et que son rôle soit plus ou moins indispensable (arrêts du Tribunal fédéral 6B_419/2016 du 10 avril 2017 consid. 2.2 et les références ; 6B_645/2007 du 2 mai 2008 consid. 7.3.4.5 = SJ 2008 I 373).</w:t>
      </w:r>
    </w:p>
    <w:p>
      <w:r>
        <w:t>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3.2.2. Aux termes de l'art. 33 al. 1 CP, l'ayant droit peut retirer sa plainte tant que le jugement de deuxième instance cantonale n'a pas été prononcé.</w:t>
      </w:r>
    </w:p>
    <w:p>
      <w:r>
        <w:t>3.3.1.1. A teneur de l'art. 139 ch. 1 CP, se rend coupable de vol celui qui, pour se procurer ou procurer à un tiers un enrichissement illégitime, aura soustrait une chose mobilière appartenant à autrui dans le but de se l'approprier. L'auteur sera puni d'une</w:t>
      </w:r>
    </w:p>
    <w:p>
      <w:r>
        <w:t>- 12/25 - P/24576/2016 peine privative de liberté de cinq ans au plus ou d'une peine pécuniaire (art. 139 ch. 1 aCP; depuis le 1er janvier 2018, la peine menace est une peine privative de liberté de six mois à cinq ans).</w:t>
      </w:r>
    </w:p>
    <w:p>
      <w:r>
        <w:t>3.3.1.2. Conformément à l'art. 139 ch. 3 aCP, le vol est puni d'une peine privative de liberté de dix ans au plus ou d'une peine pécuniaire de 180 jours-amende au moins (six mois à 10 ans dès le 1er janvier 2018), si son auteur l'a commis en qualité d'affilié à une bande formée pour commettre des brigandages ou des vols.</w:t>
      </w:r>
    </w:p>
    <w:p>
      <w:r>
        <w:t>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consid. 2 et 3 p. 158 ss ; voir également arrêt du Tribunal fédéral 6B_1047/2008 du 20 mars 2009 consid. 4.1). Le nombre d'auteurs importe peu ; le seul élément décisif est la volonté expresse ou manifestée par des actes concluants de s'associer en vue de commettre plusieurs infractions indépendantes, même si elles ne sont pas encore déterminées, et le fait que cette association renforce physiquement et psychiquement chacun des membres, de sorte qu'elle les rend particulièrement dangereux et laisse prévoir la commission d'autres infractions de ce type (ATF 124 IV 286 consid. 2a p. 293 ss. ; ATF 124 IV 86 consid. 2b p. 88 ss.).</w:t>
      </w:r>
    </w:p>
    <w:p>
      <w:r>
        <w:t>Du point de vue subjectif, il suffit que l'auteur connaisse et veuille les circonstances de fait qui correspondent à la définition de la bande ou, en d'autres termes, que sa volonté ait porté sur la commission en commun d'une pluralité d'infractions (ATF 124 IV 286 consid. 2a p. 293 ss. ; ATF 124 IV 86 consid. 2b p. 89).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 Le seul fait que l'auteur fasse partie d'une bande n'est pas suffisant (J. HURTADO POZO, Droit pénal : partie spéciale, nouv. éd., Genève/ Zurich/Bâle 2009, n° 936 p. 281).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 voir également J. HURTADO POZO, op.cit., n° 936 p. 281).</w:t>
      </w:r>
    </w:p>
    <w:p>
      <w:r>
        <w:t>3.3.2. Selon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t>3.3.3. Celui qui, d'une manière illicite et contre la volonté de l'ayant droit, aura pénétré dans une maison, dans une habitation, dans un local fermé faisant partie</w:t>
      </w:r>
    </w:p>
    <w:p>
      <w:r>
        <w:t>- 13/25 - P/24576/2016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(art. 186 CP).</w:t>
      </w:r>
    </w:p>
    <w:p>
      <w:r>
        <w:t>3.4.1. En l'espèce, l'appelant ne conteste pas avoir commis les cambriolages I______ et D______ avec G______, qui les a aussi admis, ces faits étant intervenus à un ou deux jours d'intervalle, dans la même partie du canton. L'implication des deux prévenus est d'ailleurs corroborée par l'enquête technique (ADN de G______ et traces de semelle, dont celles de l'appelant dans le cas I______).</w:t>
      </w:r>
    </w:p>
    <w:p>
      <w:r>
        <w:t>Les deux hommes ont en outre été interpellés ensemble, le lendemain du cambriolage I______, dans le même secteur, soit juste après le cambriolage de la villa E______. G______ a fini par admettre pleinement son implication dans ce troisième vol. L'appelant, qui n'a eu de cesse de varier dans ses explications, a concédé devant le premier juge qu'il était sur place, qu'il attendait son comparse et espérait pouvoir partager le butin. La boue sur les chaussures des deux hommes, les images de surveillance et l'équipement (gants et lampe de poche) en possession de G______ ne laissent pas de place au doute quant à l'implication des deux prévenus.</w:t>
      </w:r>
    </w:p>
    <w:p>
      <w:r>
        <w:t>Il importe peu à cet égard que l'appelant ne soit, cette fois-ci, pas entré dans la maison, comme il le soutient, et qu'il n'ait pas directement volé d'objets. En effet, il est constant que les deux hommes ont agi ensemble dans un but commun, chacun ayant besoin de l'autre pour mener à bien leur projet délictueux. Le fait qu'ils n'étaient que deux et encore ensemble 20 minutes après le vol, au moment de leur arrestation, plaide aussi en faveur de la coactivité, les deux comparses intervenant ensemble du début à la fin.</w:t>
      </w:r>
    </w:p>
    <w:p>
      <w:r>
        <w:t>3.4.2. Au sujet de la circonstance aggravante du vol en bande, la CPAR retient que les deux prévenus se sont rendus ensemble, le soir, en plein hiver, dans des quartiers de villas à l'extérieur de la ville de Genève, dans lesquels ils n'avaient aucune raison de se rendre, si ce n'est la commission de cambriolages. Ces éléments ne plaident pas en faveur de vols commis à l'improviste, au gré des opportunités. Il s'agit au contraire d'indices forts en faveur d'actes programmés et organisés. Les deux comparses ont pénétré par effraction dans les villas et emporté des valeurs et objets faciles à transporter puis se sont répartis le butin, même si l'on ignore la clé de répartition. L'appelant a admis avoir brisé une vitre à une occasion (cas I______), avoir fouillé les habitations dans deux cas (I______ et D______) et s'être emparé de monnaies d'or, de stylos ou de devises.</w:t>
      </w:r>
    </w:p>
    <w:p>
      <w:r>
        <w:t>Les deux prévenus ont agi ainsi à trois reprises, chacun concourant à l'exécution des infractions en fonction de la situation, ce qui est constitutif de la bande.</w:t>
      </w:r>
    </w:p>
    <w:p>
      <w:r>
        <w:t>3.4.3. L'appelant conteste l'ampleur du butin dénoncé par les victimes, faisant grand cas du fait que I______ n'aurait pas été en mesure d'attester la possession des deux</w:t>
      </w:r>
    </w:p>
    <w:p>
      <w:r>
        <w:t>- 14/25 - P/24576/2016 sacs de marque signalés volés, alors qu'il lui aurait été aisé de réclamer une preuve de l'achat auprès du magasin [de la marque] M______ à Genève. A cet égard, il sera relevé que l'appelant n'a pas demandé à ce que les plaignants soient entendus dans la procédure ou invités à fournir des renseignements complémentaires à ce sujet, se bornant, par la voix de son conseil, à mettre en doute leur parole. De manière générale, la CPAR n'a pas de raisons de douter des inventaires établis par les victimes des cambriolages, l'absence d'attestations d'achat pouvant avoir de multiples raisons, les objets ayant notamment pu être hérités, reçus en cadeau ou encore achetés à l'étranger. Enfin, l'ampleur exacte du butin importe en définitive peu, dès lors que c'est le butin escompté qui est décisif. Or, l'auteur de cambriolages est généralement disposé à s'emparer de tout objet de valeur qu'il trouve - surtout les bijoux et les devises, facilement transportables lorsque le malfrat doit prendre la fuite à pied - et espère donc obtenir le butin le plus conséquent possible.</w:t>
      </w:r>
    </w:p>
    <w:p>
      <w:r>
        <w:t>3.4.4. Au vu de ce qui précède, le jugement entrepris sera confirmé en tant qu'il a reconnu l'appelant coupable de vol en bande, ainsi que de dommages à la propriété et de violation de domicile pour le cas D______. En revanche, dans la mesure où les plaignants I______ et E______ ont retiré leur plainte pénale, les infractions de dommages à la propriété et de violation de domicile seront classées pour ces deux cas (art. 319 al. 1 let. d et 329 al. 1 let. c cum art. 405 al. 1 CPP) et le jugement entrepris modifié en conséquence.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t>- 15/25 - P/24576/2016</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w:t>
      </w:r>
    </w:p>
    <w:p>
      <w:r>
        <w:t>4.1.2. En vertu de l'art. 49 al. 1 CP, lorsqu'un délinquant, par plusieurs actes, encourt plusieurs peines privatives de liberté, le juge le condamne à la peine de l'infraction la plus grave et en augmente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w:t>
      </w:r>
    </w:p>
    <w:p>
      <w:r>
        <w:t>4.1.3.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w:t>
      </w:r>
    </w:p>
    <w:p>
      <w:r>
        <w:t>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w:t>
      </w:r>
    </w:p>
    <w:p>
      <w:r>
        <w:t>S'il existe des doutes très importants au sujet du comportement futur de l'auteur, notamment au vu de condamnations antérieures, le juge peut prononcer une peine assortie du sursis partiel au lieu d'un sursis total, et ceci même si les doutes</w:t>
      </w:r>
    </w:p>
    <w:p>
      <w:r>
        <w:t>- 16/25 - P/24576/2016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 ; arrêt du Tribunal fédéral 6B_1044/2013 du 4 mars 2014 consid. 3.1).</w:t>
      </w:r>
    </w:p>
    <w:p>
      <w:r>
        <w:t>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t>4.2.1. En l'espèce, la faute de l'appelant est importante. Il s’en est pris aux biens et à la sphère intime d’autrui, sans égard aux conséquences patrimoniales et psychologiques de ses actes pour ses victimes, et réalise la circonstance aggravante du vol en bande, qui est en l'occurrence l'infraction la plus grave, passible d'une peine privative de liberté pouvant aller jusqu'à 10 ans, ce plafond pouvant être étendu par le jeu du concours d'infractions (art. 49 al. 1 CP).</w:t>
      </w:r>
    </w:p>
    <w:p>
      <w:r>
        <w:t>Sa collaboration a été qualifiée de moyenne à bonne par le premier juge, ce qui apparait bienveillant dans la mesure où l'appelant n'a eu de cesse de varier dans ses explications et de minimiser sa participation ainsi que l'ampleur des butins. En affirmant qu'il aurait volé pour acheter des cadeaux à sa copine, vu ses modestes revenus issus de l'aide sociale, l'appelant semble vouloir justifier son comportement, alors qu'il bénéficie d'une admission provisoire, d'un soutien scolaire et de l'aide des pouvoirs publics. L'appelant n'a visiblement pas pris conscience de la gravité des faits et de l'impact d'un cambriolage sur ses victimes.</w:t>
      </w:r>
    </w:p>
    <w:p>
      <w:r>
        <w:t>Enfin, l'activité délictuelle n'a pris fin que grâce à l'interpellation des prévenus.</w:t>
      </w:r>
    </w:p>
    <w:p>
      <w:r>
        <w:t>A décharge, il sera retenu que l'appelant a eu une enfance difficile et qu'il fait des efforts à l'école.</w:t>
      </w:r>
    </w:p>
    <w:p>
      <w:r>
        <w:t>Eu égard à l'ensemble des considérations qui précèdent, en particulier de la gravité de la faute, qui reste le critère prépondérant en matière de fixation de la peine, une peine privative de liberté de douze mois est proportionnée et tient adéquatement compte des classements prononcés. C'est enfin à juste titre que le premier juge a déclaré cette peine complémentaire à celle infligée par le Ministère public vaudois le 15 mars 2017 (art. 49 al. 2 CP).</w:t>
      </w:r>
    </w:p>
    <w:p>
      <w:r>
        <w:t>4.2.2. Compte tenu des antécédents récents et spécifiques et de l'absence de prise de conscience de la gravité des actes commis, l'appelant ne réunit pas les conditions du sursis complet, ce qu'il n'a du reste pas contesté. Le bénéfice du sursis partiel lui est en revanche acquis (art. 391 al. 2 CPP).</w:t>
      </w:r>
    </w:p>
    <w:p>
      <w:r>
        <w:t>- 17/25 - P/24576/2016</w:t>
      </w:r>
    </w:p>
    <w:p>
      <w:r>
        <w:t>La peine ayant été réduite à douze mois, il s'impose d'adapter la partie à exécuter à six mois (art. 43 al. 2 CP), le solde étant assorti du sursis partiel durant quatre ans, conformément au jugement entrepris, non contesté sur ce point.</w:t>
      </w:r>
    </w:p>
    <w:p>
      <w:r>
        <w:t>4.2.3. Le fait que l'appelant ait exécuté sept mois de détention préventive n'ouvre pas le droit à indemnisation vu que la peine privative de liberté de douze mois prononcée, avec et sans sursis, dépasse la durée de la détention avant jugement subie (art. 431 al. 3 let. b CPP).</w:t>
      </w:r>
    </w:p>
    <w:p>
      <w:r>
        <w:rPr>
          <w:b/>
        </w:rPr>
        <w:t>E. 5</w:t>
      </w:r>
    </w:p>
    <w:p>
      <w:r>
        <w:t>5.1.1. Le juge expulse de Suisse l'étranger qui est condamné pour vol qualifié (art. 139 ch. 2 et 3 CP) ou vol (art. 139 CP) en lien avec une violation de domicile (art. 186 CP), quelle que soit la quotité de la peine prononcée à son encontre, pour une durée de cinq à quinze ans (art. 66a al. 1 let. c et d CP).</w:t>
      </w:r>
    </w:p>
    <w:p>
      <w:r>
        <w:t>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w:t>
      </w:r>
    </w:p>
    <w:p>
      <w:r>
        <w:t>5.1.2.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(OARP/12/2017 du 7 février 2017 consid. 2.4.4 ; arrêt du Tribunal fédéral 2C_695/2016 du 1er décembre 2016 consid. 5.2).</w:t>
      </w:r>
    </w:p>
    <w:p>
      <w:r>
        <w:t>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 4 novembre 1950 (CEDH - RS 0.101).</w:t>
      </w:r>
    </w:p>
    <w:p>
      <w:r>
        <w:t>5.1.3. L’exécution de l’expulsion obligatoire selon l’art.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(art. 66d let. a CP) ou lorsque d’autres règles impératives du droit international s’opposent à l’expulsion (art. 66d let. b CP).</w:t>
      </w:r>
    </w:p>
    <w:p>
      <w:r>
        <w:t>- 18/25 - P/24576/2016</w:t>
      </w:r>
    </w:p>
    <w:p>
      <w:r>
        <w:t>Selon l'art. 18 du règlement sur l'exécution des peines privatives de liberté et des mesures concernant les adultes et les jeunes adultes du 19 mars 2014 (REPPL; RS/GE E 4 55.05), c'est l'Office cantonal de la population et des migrations qui est compétent pour prendre les dispositions de mise en œuvre de l'expulsion prononcée par le juge pénal (art. 66a à 66b CP) ainsi que pour se prononcer sur le report de l'exécution de cette mesure (art. 66d CP).</w:t>
      </w:r>
    </w:p>
    <w:p>
      <w:r>
        <w:rPr>
          <w:b/>
        </w:rPr>
        <w:t>E. 5.2</w:t>
      </w:r>
    </w:p>
    <w:p>
      <w:r>
        <w:t>L'appelant ayant été reconnu coupable de vols en bande, ainsi que d'un vol en lien avec une violation de domicile, commis après le 1er octobre 2016, son expulsion est obligatoire (art. 66a al. 1 let. c et d CP).</w:t>
      </w:r>
    </w:p>
    <w:p>
      <w:r>
        <w:t>Aussi, une éventuelle renonciation ne peut intervenir qu'exceptionnellement, au cas où l'expulsion mettrait l'appelant dans une situation grave et où son intérêt à rester en Suisse serait supérieur à celui de la collectivité à le renvoyer dans son pays d'origine. L'hypothèse principalement visée est celle d'un étranger né en Suisse ou y ayant grandi.</w:t>
      </w:r>
    </w:p>
    <w:p>
      <w:r>
        <w:t>L'appelant est arrivé en Suisse en août 2014, soit il y a moins de quatre ans. Il parle essentiellement le roumain, nonobstant les cours de français qu'il a suivis, preuve en est qu'il a été assisté d'un interprète en langue roumaine tout au long de la procédure. Il n'est pas intégré, en particulier du fait de ses actes délictueux répétés depuis qu'il est mineur, et n'a aucune attache avec la Suisse.</w:t>
      </w:r>
    </w:p>
    <w:p>
      <w:r>
        <w:t>L'appelant allègue toutefois que son expulsion le placerait dans une situation extrêmement grave et qu'il n'a pas d'attaches avec son pays d'origine.</w:t>
      </w:r>
    </w:p>
    <w:p>
      <w:r>
        <w:t>A cet égard, la CPAR relève que l'appelant n'établit pas que sa vie et/ou son intégrité physique ou psychique seraient en danger dans l'un des pays de l'Europe de l'Est où l'on parle roumain. D'après la décision lui refusant l'asile, il a fourni des explications confuses sur ses origines et il aurait aussi menti, de sorte qu'il n'est pas possible de tenir sans autre pour vrai ses allégations.</w:t>
      </w:r>
    </w:p>
    <w:p>
      <w:r>
        <w:t>Il n'est donc pas avéré qu'un renvoi de l'appelant dans son pays d'origine, dans son ancien pays de résidence ou dans un pays tiers serait de nature à l'exposer à une situation personnelle grave. Surtout, son intérêt à rester en Suisse n'apparaît pas supérieur à celui de la collectivité à le renvoyer.</w:t>
      </w:r>
    </w:p>
    <w:p>
      <w:r>
        <w:t>Enfin, la question de la mise en œuvre de l'expulsion et de son éventuel report échappe à la compétence du juge (art. 66d CP et 18 REPPL). Aussi, il appartiendra à l'autorité administrative d'examiner si et quand le renvoi pourra être exécuté.</w:t>
      </w:r>
    </w:p>
    <w:p>
      <w:r>
        <w:t>Au vu des éléments exposés ci-dessus, une expulsion pour cinq ans, durée minimale prévue par la loi, est adéquate et proportionnée, de sorte que la décision du premier juge sera confirmée.</w:t>
      </w:r>
    </w:p>
    <w:p>
      <w:r>
        <w:t>- 19/25 - P/24576/2016</w:t>
      </w:r>
    </w:p>
    <w:p>
      <w:r>
        <w:rPr>
          <w:b/>
        </w:rPr>
        <w:t>E. 6</w:t>
      </w:r>
    </w:p>
    <w:p>
      <w:r>
        <w:t>Compte tenu des classements intervenus et de la renonciation de F______ SA à obtenir réparation du préjudice qu'elle a subi en tant qu'assureur de E______, il convient d'annuler la condamnation de A______ à payer CHF 21'084.05 à l'assureur à titre de réparation du dommage matériel.</w:t>
      </w:r>
    </w:p>
    <w:p>
      <w:r>
        <w:rPr>
          <w:b/>
        </w:rPr>
        <w:t>E. 7.1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p. 254 ; arrêt du Tribunal fédéral 6B_136/2016 du 23 janvier 2017 consid. 4.1.1).</w:t>
      </w:r>
    </w:p>
    <w:p>
      <w:r>
        <w:t>Si sa condamnation n'est que partielle, les frais ne doivent être mis à sa charge que de manière proportionnelle, en considération des frais liés à l'instruction des infractions pour lesquelles un verdict de culpabilité a été prononcé (arrêts du Tribunal fédéral 6B_136/2016 précité consid. 4.1.1 ;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arrêt 6B_136/2016 précité consid. 4.1.1 et les références citées). Il convient de répartir les frais en fonction des différents états de fait retenus, non selon les infractions visées (6B_136/2016 précité consid. 4.1.1 et les références citées). Comme il est difficile de déterminer avec exactitude les frais qui relèvent de chaque fait imputable ou non au condamné, une certaine marge d'appréciation doit être laissée au juge du fond (arrêt 6B_136/2016 précité consid. 4.1.1 et les références citées).</w:t>
      </w:r>
    </w:p>
    <w:p>
      <w:r>
        <w:rPr>
          <w:b/>
        </w:rPr>
        <w:t>E. 7.2</w:t>
      </w:r>
    </w:p>
    <w:p>
      <w:r>
        <w:t>L'appelant soutient que du fait de son acquittement partiel, soit pour l'un des quatre cambriolages retenus par le Ministère public, les frais de procédure auraient dû être partiellement laissés à la charge de l'Etat, alors qu'ils ont été mis intégralement à la charge des deux prévenus, à raison de moitié chacun (soit CHF 2'050.-).</w:t>
      </w:r>
    </w:p>
    <w:p>
      <w:r>
        <w:t>Or, initiée à la suite du cambriolage E______, la procédure a été étendue à trois autres cambriolages, dans le prolongement des résultats de l'enquête technique. L'appelant a été entendu sur ces trois nouvelles occurrences le 14 février 2017 par la police puis le 10 mars 2017 par le Ministère public, à la suite de quoi un avis de prochaine clôture a été prononcé. Il ne ressort pas du dossier que les faits liés au cas L______ auraient engendré des frais de procédure supplémentaires à ceux liés aux autres cambriolages.</w:t>
      </w:r>
    </w:p>
    <w:p>
      <w:r>
        <w:t>Aussi, pour la CPAR, l'acquittement partiel prononcé dans le complexe de faits du cas L______, étroitement lié aux trois autres cambriolages, est demeuré sans</w:t>
      </w:r>
    </w:p>
    <w:p>
      <w:r>
        <w:t>- 20/25 - P/24576/2016 incidence sur la quotité des frais que l'appelant devait assumer. Partant, c'est à juste titre que le premier juge a mis l'intégralité des frais de procédure à la charge des deux prévenus.</w:t>
      </w:r>
    </w:p>
    <w:p>
      <w:r>
        <w:t>En appel, le verdict de culpabilité a été confirmé s'agissant de l'infraction de vol en bande, qui est l'infraction la plus grave, ainsi qu'en lien avec la participation de l'appelant aux trois cambriolages. La mise en œuvre d'une expertise psychiatrique a été refusée et la mesure d'expulsion maintenue. Pour tenir compte des classements prononcés suite aux retraits de plainte, de la légère réduction de peine et de l'annulation de la condamnation à supporter le dommage matériel, un quart des frais de la procédure d'appel sera laissé à la charge de l'Etat, tandis que les trois quarts seront supportés par l'appelant (art. 428 CPP).</w:t>
      </w:r>
    </w:p>
    <w:p>
      <w:r>
        <w:rPr>
          <w:b/>
        </w:rPr>
        <w:t>E. 8</w:t>
      </w:r>
    </w:p>
    <w:p>
      <w:r>
        <w:t>Aux termes de l'art. 392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l'autorité de recours juge différemment les faits (let. a) et les considérants valent également pour les autres personnes impliquées (let. b).</w:t>
      </w:r>
    </w:p>
    <w:p>
      <w:r>
        <w:t>En l'occurrence, il n'est pas manifeste que les retraits de plaintes intervenus juste avant les débats d'appel et dont a bénéficié A______, du fait de son appel, doivent aussi profiter à G______, qui n'a pas fait appel et dont le jugement était par conséquent en force au moment où les plaignants ont retiré leur plainte. Il ne s'agit en effet pas, à tout le moins si l'on s'en tient à la lettre de l'art. 392 CPP, d'un cas où l'autorité de recours juge différemment les faits.</w:t>
      </w:r>
    </w:p>
    <w:p>
      <w:r>
        <w:t>Cela étant, le droit d'être entendu des parties, expressément prévu à l'art. 392 al. 2 CPP, commande que G______ puisse se déterminer sur l'éventuelle extension des classements à son égard. Dès lors, le présent arrêt lui sera communiqué, dès son entrée en force, et la procédure sera reprise, s'il s'y estime fondé.</w:t>
      </w:r>
    </w:p>
    <w:p>
      <w:r>
        <w:rPr>
          <w:b/>
        </w:rPr>
        <w:t>E. 9.1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- 21/25 - P/24576/2016</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w:t>
      </w:r>
    </w:p>
    <w:p>
      <w:r>
        <w:rPr>
          <w:b/>
        </w:rPr>
        <w:t>E. 9.3</w:t>
      </w:r>
    </w:p>
    <w:p>
      <w:r>
        <w:t>En l'occurrence, l'état de frais du défenseur d'office de l'appelant est globalement adéquat et conforme aux principes qui précèdent, sauf s'agissant de 30 minutes consacrées au poste "examen du jugement et déclaration d'appel", cette dernière démarche étant comprise dans le forfait pour l'activité diverse.</w:t>
      </w:r>
    </w:p>
    <w:p>
      <w:r>
        <w:t>L'indemnité sera ainsi arrêtée à CHF 2'653.20, correspondant à 11 heures et</w:t>
      </w:r>
    </w:p>
    <w:p>
      <w:r>
        <w:rPr>
          <w:b/>
        </w:rPr>
        <w:t>E. 10</w:t>
      </w:r>
    </w:p>
    <w:p>
      <w:r>
        <w:t>minutes d'activité de chef d'étude au tarif de CHF 200.-/heure (CHF 2'233.35), plus la majoration forfaitaire de 10% (CHF 223.35), compte tenu de l'activité indemnisée en première instance, et l'équivalent de la TVA au taux de 8% en CHF 196.50. * * * * *</w:t>
      </w:r>
    </w:p>
    <w:p>
      <w:r>
        <w:t>- 23/25 - P/24576/2016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