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AARP/319/2017 vom 4. Oktober 2017</w:t>
      </w:r>
    </w:p>
    <w:p>
      <w:r>
        <w:t>GE Cour de justice, 2017-10-04, FR</w:t>
      </w:r>
    </w:p>
    <w:p>
      <w:r>
        <w:rPr>
          <w:b/>
        </w:rPr>
        <w:t xml:space="preserve">Quelle: </w:t>
      </w:r>
      <w:r>
        <w:t>https://mcp.opencaselaw.ch/entscheid/ge_gerichte_AARP_319_2017</w:t>
      </w:r>
    </w:p>
    <w:p>
      <w:r>
        <w:t>FR: GE_GERICHTE AARP/319/2017 du 4 octobre 2017</w:t>
      </w:r>
    </w:p>
    <w:p>
      <w:r>
        <w:t>IT: GE_GERICHTE AARP/319/2017 del 4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- 13/32 - P/42/2016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2.2.3. Le principe de l'appréciation libre des preuves interdit d'attribuer d'entrée de cause une force probante accrue à certains moyens de preuve, comme des rapports de</w:t>
      </w:r>
    </w:p>
    <w:p>
      <w:r>
        <w:t>- 15/32 - P/42/2016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2.3.1. En application de l'art. 158 CPP, au début de la première audition, la police ou le Ministère public informent, en particulier, le prévenu dans une langue qu'il comprend qu'il peut demander l'assistance d'un traducteur ou d'un interprète (al. 1 let. d). Les auditions effectuées sans que ces informations aient été données ne sont pas exploitables (al. 2). 2.3.2. À teneur de l'art. 130 let. b CPP, le prévenu doit notamment avoir un défenseur lorsqu'il encourt une peine privative de liberté de plus d'un an, une mesure entraînant une privation de liberté ou une expulsion. Les preuves administrées avant qu'un défenseur ait été désigné, alors même que la nécessité d'une défense aurait dû être reconnue, ne sont exploitables qu'à condition que le prévenu renonce à en répéter l'administration (art. 131 al. 3 CPP).</w:t>
      </w:r>
    </w:p>
    <w:p>
      <w:r>
        <w:rPr>
          <w:b/>
        </w:rPr>
        <w:t>E. 2.4</w:t>
      </w:r>
    </w:p>
    <w:p>
      <w:r>
        <w:t>L'art. 285 CP punit notamment celui qui, en usant de violence ou de menace, empêche une autorité, un membre d'une autorité ou un fonctionnaire de faire un acte entrant dans ses fonctions, les contraints à faire un tel acte ou s'est livré à des voies de fait sur eux pendant qu'ils y procédaient. Selon cette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Le second comportement typique consiste à contraindre une autorité, un membre d'une autorité ou un fonctionnaire à faire un acte contre son gré en ayant recours à la violence ou à la menace (M. DUPUIS / L. MOREILLON / C. PIGUET / S. BERGER / M. MAZOU / V. RODIGARI, op. cit., n. 11 s ad art. 285). La menace correspond à celle de l'art. 181 CP, même s'il n'est pas précisé qu'elle doit porter sur un dommage sérieux (arrêt du Tribunal fédéral 6B_257/2010 du 5 octobre</w:t>
      </w:r>
    </w:p>
    <w:p>
      <w:r>
        <w:t>- 16/32 - P/42/2016 2010 consid. 5.1 ; B. CORBOZ, Les infractions en droit suisse, Vol. II, 3e éd., Berne 2010, n. 5 ad art. 285 CP). Selon l'Obergericht du Canton de Zurich, le fait de cracher sur un agent de police lorsque celui-ci est en train d'accomplir un acte officiel constitue une voie de fait et réalise ainsi les conditions de l'art. 285 ch. 1 CP (OGer ZH SB110261 du 8 juillet 2011 consid. 7.1). Le fait de demander à un préposé à l'office des poursuites et faillite s'il "aimait sa vie" en sortant en même temps un couteau de cuisine est constitutif de menace au sens de l'art. 285 CP (M. NIGGLI / M. HEER / H. WIPRÄCHTIGER, Basler Kommentar Schweizerische Strafprozessordnung : Art. 196-457 StPO, Jugendstrafprozessordnung : Art. 1-54 JStPO, 2e éd., Bâle 2014, n. 11 ad art. 285 CPP).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 2.5.1.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128 IV 53 consid. 1a p. 58 ; 117 IV 27 consid. 2c p. 28). Sont considérées comme des injures formelles les termes : "bande de salauds" (ATF 117 IV 270 consid. 2b), "vaffanculo" (arrêt du Tribunal fédéral 6B_794/2007 du 14 avril 2008) ou encore "petit con" (arrêt du Tribunal fédéral 6B_602/2009 du 29 septembre 2009). Le qualificatif de "fils de pute" est également constitutif d'injure (arrêt du Tribunal fédéral 6B_763/2014 du 6 janvier 2015). 2.5.2. Le juge pourra exempter le délinquant de toute peine si l'injurié a directement provoqué l'injure par une conduite répréhensible (art. 177 al. 2 CP). Le juge ne peut faire usage de la faculté que lui réserve l'art. 177 al. 2 CP que si l'injure a consisté en une réaction immédiate à un comportement répréhensible de l'injurié, lequel peut consister en une provocation ou en tout autre comportement blâmable (ATF 117 IV 270 consid. 2c p. 173).</w:t>
      </w:r>
    </w:p>
    <w:p>
      <w:r>
        <w:t>- 17/32 - P/42/2016</w:t>
      </w:r>
    </w:p>
    <w:p>
      <w:r>
        <w:rPr>
          <w:b/>
        </w:rPr>
        <w:t>E. 2.6</w:t>
      </w:r>
    </w:p>
    <w:p>
      <w:r>
        <w:t>Aux termes de l'art. 186 CP, se rend coupable de violation de domicile notamment celui qui, d'une manière illicite et contre la volonté de l'ayant droit, aura pénétré dans une habitation ou un local fermé. Selon la jurisprudence,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p. 39, JdT 1983 IV 76 ; arrêt du Tribunal fédéral 6B_1056/2013 du 20 août 2014 consid. 2).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Les infractions en droit suisse, vol. I, Berne 2010, n. 45 ss ad art. 186 CP). 2.7.1. En l'espèce, dans son rapport du 6 décembre 2015 à l'intention du directeur de la prison, l'intimé a décrit avec suffisamment de précision les faits à la base de sa plainte pénale. Il a en outre expressément déclaré vouloir porter plainte contre l'appelant. Ce rapport écrit a été transmis par le directeur de la prison le 8 décembre 2015 à l'autorité compétente, à savoir le Ministère public, par-devant lequel l'intimé a confirmé sa volonté d'intervenir à la procédure comme demandeur au pénal et au civil. La plainte pénale de l'intimé à l'encontre de l'appelant est partant valable. 2.7.2. Lors de sa première audition à la police le 21 janvier 2016, l'appelant a admis avoir injurié et menacé les gardiens, aveux réitérés dans deux courriers parvenus au Ministère public le 23 février suivant. Il a néanmoins conclu en première instance à</w:t>
      </w:r>
    </w:p>
    <w:p>
      <w:r>
        <w:t>- 18/32 - P/42/2016 ce que le procès-verbal issu de cette audition soit écarté de la procédure, au motif qu'alors même qu'il ne parle ni ne comprend le français, il n'avait pas été assisté d'un traducteur ou d'un interprète géorgien, ni d'un avocat, respectivement qu'il n'était pas l'auteur ni n'avait demandé à un tiers de rédiger les courriers datés du 17 février 2016. Contrairement à ce qui a été plaidé par son conseil en appel, ladite déclaration, de même que les deux courriers, n'ont pas été écartés du dossier par le premier juge qui n'en a simplement pas tenu compte dans l'appréciation de la culpabilité. L'appelant ne demande plus formellement en appel que ces pièces soient écartées de la procédure. Cette question pourra toutefois demeurer ouverte, dans la mesure où la Cour, à l'instar du premier juge, se basera sur d'autres moyens de preuve suffisants pour fonder la culpabilité de l'appelant. Cela étant, sa prétendue ignorance de la langue française paraît plus que douteuse, compte tenu des éléments figurant au dossier, en particulier de ses propres déclarations s'agissant de son aptitude à remplir des papiers en français pour autrui ne parlant pas cette langue. Par ailleurs, sa première déclaration à la police comporte nombre de détails qui démontrent qu'il a suffisamment su se faire comprendre de la police, comme le fait qu'il aurait prié lors de l'intrusion des gardiens, qu'il aurait par trois fois essayé de remettre sa commande d'épicerie dans la journée en question, que le gardien aurait regardé sa montre avant de la lui refuser ou encore que si on le voyait avec un couteau sur des images, il demandait au juge de le punir de dix ans supplémentaires de prison, soit autant d'éléments ne ressortant pas des faits dénoncés par l'intimé. Il découle enfin de ladite déclaration que l'appelant s'est bien vu proposer d'être assisté d'un interprète et y a renoncé. Il est en outre manifeste que l'appelant ne se trouvait pas dans un cas de défense obligatoire (art. 130 let. a à e CPP a contrario). Lors de ses auditions ultérieures, l'appelant a contesté les injures ainsi que les menaces et violences, expliquant en avoir lui-même été victime. Or, ces déclarations, qui manquent de crédibilité à bien des égards, sont contestées non seulement par les déclarations des gardiens, mais également par les images de vidéosurveillance, le certificat médical de la prison et la version donnée par son codétenu. Il en ressort en effet qu'il a manifestement exagéré s'agissant, d'une part, de la chronologie des événements et, d'autre part, du comportement des gardiens à son égard. Tout d'abord, il s'est écoulé moins de quinze minutes entre le moment où l'intimé et son collègue ont fermé la porte de la cellule de l'appelant et celui où les agents de</w:t>
      </w:r>
    </w:p>
    <w:p>
      <w:r>
        <w:t>- 19/32 - P/42/2016 détention y ont pénétré durant quelques secondes, soit trop peu de temps pour leur permettre, soi-disant, de matraquer le prévenu, le menotter et enfin le frapper jusqu'au point de lui faire perdre connaissance. Le témoin F______, qui se trouvait à l'intérieur de la cellule, a d'ailleurs indiqué que l'appelant n'avait pas été frappé, hormis le fait qu'il avait été bousculé par un bouclier, ce qui permet d'expliquer la présence de sang sur les draps. Par la suite, selon les images de vidéosurveillance filmant le couloir, l'appelant n'a passé qu'une trentaine de secondes dans l'ascenseur, non pas quinze minutes comme dénoncé. Enfin, il s'est spontanément jeté à genoux à deux reprises, avant d'être rapidement relevé, et ne s'est pas fait traîner dans cette position sur plusieurs mètres. De manière plus générale, il n'a cessé de varier quant aux coups qui lui auraient été portés, non attestés d'ailleurs par le rapport médical. Ainsi, aucun crédit ne peut être accordé aux déclarations de l'appelant tant il a à tout le moins grandement exagéré, preuve en est qu'il n'a pas recouru contre l'ordonnance de classement de la plainte qu'il avait déposée le 1er mars 2016. Compte tenu du manque de fiabilité de sa version des faits, on peut également mettre en doute ses dénégations, lorsqu'il prétend ne pas avoir menacé, insulté ni craché sur les gardiens, à l'intérieur ni à l'extérieur de la cellule, ou encore ne pas s'être opposé à son placement en cellule forte, alors même que le recours à la contrainte a été nécessaire. Au contraire, les images de vidéosurveillance attestent que les faits, s'agissant notamment de la succession des événements et de l'attitude des parties, se sont déroulés précisément comme décrits, de manière constante et concordante, par l'intimé et son collègue, E______, arrivé quasiment en début d'altercation. Ainsi, on aperçoit sur les images que l'appelant se montre d'abord colérique face à l'intimé, puis qu'il refuse, dans une seconde phase, de coopérer avec les agents de détention. Cette perte de maîtrise de soi est corroborée, d'une part, par le témoin F______, selon lequel son codétenu avait "dépassé toutes les limites" et s'était énervé, se gardant néanmoins, par esprit de solidarité sans doute, de révéler d'autres éléments à charge de ce dernier, tel l'épisode du couteau, et, d'autre part, par les gardiens arrivés en renfort, en particulier, G______ et H______, qui ont précisé que l'appelant les avait insultés, respectivement leur avait craché dessus. S'agissant du couteau, même à retenir qu'il avait une lame à bout rond, était autorisé dans les cellules, et que l'appelant l'aurait simplement saisi, cela n'enlève pas sa qualité d'objet tranchant et partant, potentiellement dangereux. Enfin, l'on ne saisit pas pour quelle raison l'intimé aurait actionné l'alarme, ni pourquoi l'appelant aurait été placé en cellule forte durant dix jours, si ce n'est en</w:t>
      </w:r>
    </w:p>
    <w:p>
      <w:r>
        <w:t>- 20/32 - P/42/2016 raison de son comportement injurieux et violent alors qu'il se trouvait encore dans sa cellule. Il en résulte que les éléments au dossier constituent un faisceau d’indices suffisamment fort pour qu’il soit retenu que les faits dénoncés par l'intimé se sont bien déroulés comme repris dans l'acte d'accusation. Ces faits correspondent bien à la qualification juridique de violence ou menace contre les autorités et les fonctionnaires et d'injure. S'agissant de cette dernière infraction, compte tenu de la chronologie des faits, étant relevé que c'est bien le comportement violent et récalcitrant de l'appelant qui a nécessité dans un premier temps la fermeture de sa cellule puis l'intervention de renfort, l'art. 177 al. 2 CP est inapplicable, le critère de la conduite répréhensible imputable au gardien injurié faisant défaut. L’appel du prévenu doit partant être rejeté et le verdict de culpabilité des chefs de violence ou menaces contre les autorités et les fonctionnaires et d'injure confirmé. 2.7.3. Le 11 octobre 2016, l'appelant a pénétré dans un magasin J______, alors qu'il faisait l'objet d'une interdiction d'entrée de deux ans, dont il avait pris connaissance et qu'il avait signée le 2 septembre 2016, soit un peu plus d'un mois avant les faits. L'ayant-droit des lieux lui avait ainsi à cette date clairement fait savoir que toute intrusion à l'avenir dans ce commerce interviendrait contre sa volonté. Lors de ses auditions, l'appelant, admettant régulièrement faire ses courses dans un magasin J______ proche de son lieu de vie, a tenté de se justifier, invoquant différents arguments, tels que son état d'inconscience passager dû au décès de son frère ou à sa prise de médicaments, le fait qu'il pensait que l'interdiction d'entrée avait pris fin ou encore qu'il n'avait acheté qu'un yaourt pour ensuite évoquer des cigarettes stockées à proximité de l'entrée. Compte tenu de ces variations dans ses divers récits, ces explications apparaissent de pure circonstance et sont dénuées de toute crédibilité. S'y ajoute que l'appelant s'y trouvait en présence d'un compatriote interpellé en possession d'un sac à dos contenant de la marchandise de provenance douteuse pour plus de CHF 350.-, tous deux n'étant de plus en possession d'aucunes espèces qui leur aurait permis de procéder à des achats à la J______, but usuel de tout un chacun qui pénètre dans un tel commerce. Il en résulte que les éléments au dossier constituent un faisceau d’indices suffisamment fort pour retenir que l'appelant est entré dans le magasin J______ dans un but autre que l'achat de marchandises.</w:t>
      </w:r>
    </w:p>
    <w:p>
      <w:r>
        <w:t>- 21/32 - P/42/2016 L'appelant ayant de plus constamment admis savoir qu'il n'avait pas le droit de pénétrer dans le magasin J______ en question, c'est vainement qu'il vient plaider en appel l'absence de compréhension de cette interdiction, respectivement un problème de proportionnalité s'agissant des commerces qu'elle toucherait et de sa durée. Le verdict de culpabilité pour le chef d'infraction à l'art. 186 CP sera ainsi confirmé et l'appel rejeté sur ce point également.</w:t>
      </w:r>
    </w:p>
    <w:p>
      <w:r>
        <w:rPr>
          <w:b/>
        </w:rPr>
        <w:t>E. 3.1</w:t>
      </w:r>
    </w:p>
    <w:p>
      <w:r>
        <w:t>Les infractions de violence ou menace contre les autorités et les fonctionnaires et de violation de domicile sont punies d'une peine privative de liberté de trois ans au plus ou d'une peine pécuniaire, celle d'injure d'une peine pécuniaire de 90 jours- amende au plus.</w:t>
      </w:r>
    </w:p>
    <w:p>
      <w:r>
        <w:rPr>
          <w:b/>
        </w:rPr>
        <w:t>E. 3.2</w:t>
      </w:r>
    </w:p>
    <w:p>
      <w:r>
        <w:t>La question de la double sanction, disciplinaire et pénale, pour un même auteur et état de fait similaire fait l'objet d'une jurisprudence bien établie (notamment l'arrêt du Tribunal fédéral 1C_191/2016 du 5 juillet 2016 en matière de législation routière). Il en résulte que lorsque le droit instaure une double procédure, pénale et administrative, le juge pénal se prononce sur les sanctions pénales, tandis que les autorités administratives compétentes décident des mesures administratives. S'agissant d'éventuelles violations du principe ne bis in idem, le Tribunal fédéral a jugé que le système de la double procédure pénale et administrative était conforme à l'interprétation de l'art. 4 ch. 1 du Protocole additionnel n° 7 à la CEDH, telle qu'elle ressortait de l'arrêt rendu le 10 février 2009 par la CourEDH dans la cause Zolotoukhine contre Russie, même si la décision d'annulation du permis de conduire s'apparente à une sanction pénale (ATF 137 I 363 consid. 2.3.3 p. 368). Cette position, confirmée dans plusieurs arrêts ultérieurs (cf. en dernier lieu, arrêts 1C_325/2015 du 15 mars 2016 consid. 4.2 et 1C_32/2015 du 18 juin 2015 consid. 5.2), est confortée par la jurisprudence européenne récente (arrêt de la CourEDH Boman contre Finlande du 17 février 2015, § 43, p. 12 ; voir également FANTI / MIZEL, Ne bis in idem : exit Zolotoukhine et vive Boman!, PJA 2015 p. 765).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3.3.2. Bien que la récidive ne constitue plus un motif d'aggravation obligatoire de la peine (art. 67 aCP), les antécédents continuent de jouer un rôle très important dans la fixation de celle-ci (M. NIGGLI / H. WIPRÄCHTIGER, Basler Kommentar</w:t>
      </w:r>
    </w:p>
    <w:p>
      <w:r>
        <w:t>- 22/32 - P/42/2016 Strafrecht I : Art. 1-110 StGB, Jugendstrafgesetz, 3e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Code pénal I : art. 1- 100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3.3.3.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 p. 58). 3.3.4.1.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w:t>
      </w:r>
    </w:p>
    <w:p>
      <w:r>
        <w:t>- 23/32 - P/42/2016 3.3.4.2. Une peine de prison, qu'elle soit courte ou longue, ne saurait être exécutée si elle entrainait une maladie durable et sévère, voire la mort de la personne avec une très haute vraisemblance (ATF 108 Ib 69 consid. 2b p. 71). 3.3.5.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Pour fixer le montant du jour-amende, il convient de partir du revenu que l'auteur réalise en moyenne chaque jour quelle qu'en soit la source. Car ce qui est déterminant, ce sont les ressources économiques réelles de l'auteur (ATF 116 IV 4 consid.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De la somme de ces revenus, le juge arrivera au revenu moyen net en déduisant, en principe, les contributions sociales (AVS, AI, APG, assurance chômage), les impôts courants, les primes d'assurance maladie et accident obligatoires, ainsi que les frais professionnels indispensables (arrêt du Tribunal fédéral 6B_217/2007 du 14 avril 2008 consid. 2.1.1). Ne sont toutefois pas déductibles les charges courantes, telles que le loyer (ATF 134 IV 60 consid. 6.4 p. 71). Pour les auteurs dont les revenus couvrent tout juste ou ne couvrent pas le minimum vital, le montant unitaire du jour-amende doit dès lors être fixé de façon que l'auteur se rende compte, en subissant une atteinte effective à son niveau de vie habituel, du sérieux de la sanction prononcée contre lui. Mais il doit aussi être fixé de façon que l'atteinte portée au niveau de vie de l'auteur apparaisse encore supportable dans la situation personnelle et économique de celui-ci. Comme valeur indicative, on peut retenir que le facteur de réduction du revenu journalier moyen net qui s'impose dans ces conditions est d'au moins 50% (arrêt du Tribunal fédéral 6B_217/2007 du 14 avril 2008 consid. 2.1.5). Pour les bénéficiaires de prestations d'aide sociale, le montant du jour-amende oscillera entre CHF 10.- et 25.- dépendant, d'une part, de la situation individuelle et, d'autre part, du nombre de jours-amende (M. A. NIGGLI / H. WIPRÄCHTIGER, op. cit., n. 78 ad art. 34).</w:t>
      </w:r>
    </w:p>
    <w:p>
      <w:r>
        <w:t>- 24/32 - P/42/2016 Le montant du jour-amende ne peut être inférieur à CHF 10.- (ATF 135 IV 180 consid. 1.4.2 p. 185). 3.3.6.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et gravement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(ATF 117 IV 245 consid. 2a p. 247 s.). Cette disposition est violée si elle n'est pas appliquée dans un cas où une faute légère a entraîné des conséquences directes très lourdes pour l'auteur ou, à l'inverse, si elle est appliquée dans un cas où une faute grave n'a entraîné que des conséquences légères pour l'auteur. Entre ces cas extrêmes, le juge dispose d'un large pouvoir d'appréciation (ATF 117 IV 245 consid. 2a p. 248).</w:t>
      </w:r>
    </w:p>
    <w:p>
      <w:r>
        <w:rPr>
          <w:b/>
        </w:rPr>
        <w:t>E. 3.4</w:t>
      </w:r>
    </w:p>
    <w:p>
      <w:r>
        <w:t>En l'espèce, la faute de l'appelant n'est pas anodine. Il a fait preuve de mépris à l'égard de plusieurs agents de détention n'hésitant pas, outre à les injurier, à se débattre et à leur cracher dessus, à se munir d'un couteau de cuisine pour en menacer le premier intervenu sur le pas de sa cellule. Il a également fait fi de l'interdiction d'entrée qui lui avait été notifiée un peu plus d'un mois avant qu'il ne pénètre à nouveau dans un magasin J______. Sa collaboration à la procédure n'a pas été bonne. Il a contesté les faits et a varié dans ses déclarations, n'hésitant pas à rejeter la responsabilité de ses actes sur les gardiens, qui ne faisaient qu'accomplir leur travail. Aucune circonstance atténuante au sens de l'art. 48 CP n'est réalisée ni d'ailleurs plaidée. De manière générale, la situation personnelle de l'appelant n'est pas un facteur à décharge, dans la mesure où il est suivi et traité pour ses différents problèmes de santé. Il y a néanmoins lieu de tenir compte du fait qu'il se trouvait incarcéré à Champ-Dollon, lorsqu'il a commis les infractions de violence ou menace contre les autorités et les fonctionnaires. Son état de santé ne saurait exclure le prononcé d'une courte peine de prison ferme. Au vu des éléments au dossier, il n'apparaît en effet pas que l'exécution d'une telle</w:t>
      </w:r>
    </w:p>
    <w:p>
      <w:r>
        <w:t>- 25/32 - P/42/2016 peine entrainerait une maladie sévère et durable, voire la mort de l'appelant avec une très haute vraisemblance. La simple affirmation que son état de santé ne lui permette pas d'exécuter la peine est à cet égard insuffisante, étant au demeurant relevé que les établissements pénitentiaires dispensent des soins médicaux, y compris psychiatriques, quand nécessaire. Il y a concours d'infractions au sens de l'art. 49 CP s'agissant des infractions aux art. 285 et 186 CP. L'appelant a de très nombreux antécédents, pour certains spécifiques, ayant été condamné, depuis le 5 mars 2011, à dix reprises pour violations de domiciles et, en 2015, à une reprise pour injure. Il a ainsi démontré jusqu'ici une incapacité presque complète à tenir compte de ses précédentes condamnations, dont celle de juin 2015, prononcée seulement six mois avant les faits pour lesquels il est aujourd'hui condamné. En fonction de ces différents éléments, la peine privative de liberté de 40 jours fixée pour sanctionner les infractions de violence ou menace contre les autorités et les fonctionnaires et la violation de domicile, complémentaire à celle de 50 jours prononcée le 27 janvier 2017 par le Ministère public de l'arrondissement de La Côte, Morges, consacre une application correcte des critères fixés à l'art. 47 CP et sera par conséquent confirmée. Bien que non adaptée au cas d'espèce, seule une peine pécuniaire peut sanctionner l'infraction d'injure. Le quota de 20 jours-amende tient adéquatement compte de la faute commise et des autres éléments entrant en considération dans la fixation de la peine tels que rappelés supra. S'agissant du montant du jour-amende, l'appelant bénéficie d'une aide sociale de l'Hospice général de CHF 300.- par mois, à laquelle s'ajoute la prise en charge de son assurance maladie, de ses frais médicaux et de son loyer, soit aussi des dépenses non déductibles pour l'évaluation du revenu net. Or, même si l'on devait tenir compte des dépenses non déductibles prises en charge par l'Hospice général aux fins d'évaluer le revenu journalier net de l'appelant, celui-ci resterait vraisemblablement très bas. En faisant abstraction de ces dépenses, le revenu journalier net de l'appelant ne dépasse pas les CHF 10.-. Dans de telles circonstances, il se justifie de réduire le montant du jour-amende à CHF 10.-. La peine privative de liberté et la peine pécuniaire ne seront pas assorties du sursis, le prévenu n'en remplissant manifestement pas les conditions eu égard en particulier à</w:t>
      </w:r>
    </w:p>
    <w:p>
      <w:r>
        <w:t>- 26/32 - P/42/2016 ses antécédents (art. 42 al. 2 CP), en l'absence de circonstances particulièrement favorables. L'intensité des atteintes prétendument subies par l'appelant dans le cadre de son placement en cellule forte n'ayant pas été démontrées, et au contraire grandement exagérées, on ne peut retenir qu'il aurait été suffisamment puni, sans compter que son incarcération dans une autre procédure n'était que la conséquence de son seul comportement. Il ne sera dès lors pas fait application de l'art. 54 CP. Il s'ensuit que le jugement de première instance sera réformé s'agissant du montant du jour-amende, mais confirmé pour le surplus.</w:t>
      </w:r>
    </w:p>
    <w:p>
      <w:r>
        <w:rPr>
          <w:b/>
        </w:rPr>
        <w:t>E. 4.1</w:t>
      </w:r>
    </w:p>
    <w:p>
      <w:r>
        <w:t>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de la loi fédérale du 30 mars 1911, complétant le Code civil suisse [CO, Code des obligations ; RS 220]).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 Selon l'art. 49 al. 1 CO, celui qui subit une atteinte illicite à sa personnalité a droit à une somme d'argent à titre de réparation morale, pour autant que la gravité de l'atteinte le justifie et que l'auteur ne lui ait pas donné satisfaction autrement. La preuve des souffrances physiques ou morales étant cependant difficile à apporter, il suffira le plus souvent au demandeur d’établir la réalité et la gravité de l’atteinte objective qui lui a été portée. Pour ce qui est de l’aspect subjectif, le juge tiendra compte du cours ordinaire des choses (P. TERCIER, Le nouveau droit de la personnalité, Zurich 1984, p. 272, n. 2060).</w:t>
      </w:r>
    </w:p>
    <w:p>
      <w:r>
        <w:rPr>
          <w:b/>
        </w:rPr>
        <w:t>E. 4.2</w:t>
      </w:r>
    </w:p>
    <w:p>
      <w:r>
        <w:t>En l'espèce, même si le fait d'exercer la profession d'agent de détention ne justifie en aucun cas un comportement tel que celui adopté par le prévenu, il n'en demeure pas moins que le tort moral n'est attesté par aucun élément au dossier, en particulier aucun certificat médical. L'intimé a d'ailleurs déclaré n'avoir bénéficié d'aucun suivi psychologique et ne pas avoir ressenti d'ennui de santé à la suite des faits, il était seulement "stressé" par le fait d'être à nouveau confronté à l'appelant lors de l'audience de jugement. Par conséquent, les conclusions civiles de C______, aussi modestes soient-elles, seront rejetées.</w:t>
      </w:r>
    </w:p>
    <w:p>
      <w:r>
        <w:t>- 27/32 - P/42/2016 L'appel sera par conséquent admis et le jugement entrepris réformé sur ce point.</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5.2.1. Compte tenu de la confirmation du verdict de culpabilité et de la peine prononcée par le Tribunal de police, à l'exception du montant du jour-amende, il n'y a pas lieu de revoir les frais fixés par le tribunal de première instance (art. 428 al. 3 CPP). 5.2.2. En appel, le prévenu succombe pour la plus grande partie. Certes, sa condamnation au paiement à l'intimé d'un montant de CHF 500.- à titre d'indemnité pour tort moral a été annulée, et le montant du jour-amende réduit de CHF 20.- à 10.-, ce qui demeure toutefois marginal. L'appelant supportera donc 5/6èmes des frais de la procédure d'appel, qui comprennent dans leur totalité un émolument de CHF 2'000.- (art. 14 al. 1 let. e RTFMP et 428 al. 2 let. b CPP). Le 1/6ème restant sera laissé à charge de l'Etat dans la mesure où l'intimé n'a en appel que requis la confirmation du jugement entrepris</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6.2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w:t>
      </w:r>
    </w:p>
    <w:p>
      <w:r>
        <w:t>- 28/32 - P/42/2016 28 juillet 2010 (RAJ ; E 2 05.04) s'applique. L'alinéa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w:t>
      </w:r>
    </w:p>
    <w:p>
      <w:r>
        <w:rPr>
          <w:b/>
        </w:rPr>
        <w:t>E. 6.3</w:t>
      </w:r>
    </w:p>
    <w:p>
      <w:r>
        <w:t>Les frais d'interprète doivent être remboursés lorsque la défense ne maîtrise pas la langue maternelle du prévenu (M. NIGGLI / M. HEER / H. WIPRÄCHTIGER, Basler Kommentar Schweizerische Strafprozessordnung : Art. 1-195 StPO, Jugendstrafprozessordnung, 2e éd., Bâle 2014, n. 3 ad art. 135).</w:t>
      </w:r>
    </w:p>
    <w:p>
      <w:r>
        <w:rPr>
          <w:b/>
        </w:rPr>
        <w:t>E. 6.4</w:t>
      </w:r>
    </w:p>
    <w:p>
      <w:r>
        <w:t>Les prestations de services fournies sur le territoire suisse par un avocat dans le cadre d'une défense d'office sont soumises à la TVA pour autant que cet avocat, qu'il s'agisse d'un chef d'étude ou d'un collaborateur, y soit assujetti (ATF 139 IV 261 ; arrêts du Tribunal fédéral 6B_486/2013 du 16 juillet 2013 et 6B_638/2012 du</w:t>
      </w:r>
    </w:p>
    <w:p>
      <w:r>
        <w:rPr>
          <w:b/>
        </w:rPr>
        <w:t>E. 6.5</w:t>
      </w:r>
    </w:p>
    <w:p>
      <w:r>
        <w:t>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(AARP/435/2016 du 24 octobre 2016 consid. 6.2.2).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w:t>
      </w:r>
    </w:p>
    <w:p>
      <w:r>
        <w:t>- 29/32 - P/42/2016 par le forfait (AARP/181/2017 du 30 mai 2017 consid. 8.2.3 ; AARP/187/2017 du 18 mai 2017 consid. 7.2 ; AARP/435/2016 du 24 octobre 2016 consid. 6.2.2).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6.6</w:t>
      </w:r>
    </w:p>
    <w:p>
      <w:r>
        <w:t>En l'occurrence, l'état de frais produit par Me B______, défenseur d'office de l'appelant, est globalement adéquat et conforme aux principes exposés. Dans la mesure où le jugement de première instance est peu volumineux, où l'affaire n'est pas particulièrement complexe et où l'avocat est censé bien connaître le dossier après l'avoir plaidé en première instance, il se justifie de n'indemniser que 30 minutes pour l'analyse du jugement de première instance et la préparation de la déclaration d'appel, laquelle est comprise dans le forfait pour activités diverses, et 2h00 pour la préparation de l'audience à la CPAR. En outre, la durée d'audience d'appel doit être ramenée à 30 minutes. En conséquence, l'indemnité sera arrêtée à CHF 1'836.- correspondant à 5h00 d'activité au tarif de CHF 200.-/heure (CHF 1'000.-), à la majoration forfaitaire de 20% (CHF 200.-), à l'équivalent de la TVA au taux de 8% en CHF 96.-, et au remboursement des frais d'interprète en CHF 540.-. * * * * *</w:t>
      </w:r>
    </w:p>
    <w:p>
      <w:r>
        <w:t>- 30/32 - P/42/2016</w:t>
      </w:r>
    </w:p>
    <w:p>
      <w:r>
        <w:rPr>
          <w:b/>
        </w:rPr>
        <w:t>E. 10</w:t>
      </w:r>
    </w:p>
    <w:p>
      <w:r>
        <w:t>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