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AARP/318/2020 vom 11. September 2020</w:t>
      </w:r>
    </w:p>
    <w:p>
      <w:r>
        <w:t>GE Cour de justice, 2020-09-11, FR</w:t>
      </w:r>
    </w:p>
    <w:p>
      <w:r>
        <w:rPr>
          <w:b/>
        </w:rPr>
        <w:t xml:space="preserve">Quelle: </w:t>
      </w:r>
      <w:r>
        <w:t>https://mcp.opencaselaw.ch/entscheid/ge_gerichte_AARP_318_2020</w:t>
      </w:r>
    </w:p>
    <w:p>
      <w:r>
        <w:t>FR: GE_GERICHTE AARP/318/2020 du 11 septembre 2020</w:t>
      </w:r>
    </w:p>
    <w:p>
      <w:r>
        <w:t>IT: GE_GERICHTE AARP/318/2020 del 11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implique donc une appréciation d'ensemble. Le juge doit forger sa conviction sur la base de tous les éléments et indices du dossier. Le fait que l'un ou l'autre de ceux-ci ou même chacun d'eux pris isolément soit insuffisant ne doit</w:t>
      </w:r>
    </w:p>
    <w:p>
      <w:r>
        <w:t>- 6/16 - P/24249/2018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t>2.1.2.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t>L'infraction se commet en principe par action. Tel est le cas lorsqu'elle est perpétrée par actes concluants (ATF 140 IV 11 consid. 2.3.2 p. 14 ; arrêt du Tribunal fédéral 6B_791/2013 du 3 mars 2014 consid. 3.1.1). Selon la jurisprudence,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ne commet pas par-là d'acte de tromperie.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(arrêt du Tribunal fédéral 6B_791/2013 consid. 3.1.1.).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ou dans le cas d'une personne qui dans sa demande de prestations complémentaires tait un mois de rente et plusieurs actifs et crée par les informations fournies l'impression que celles- ci correspondent à sa situation réelle (ATF 131 IV 83 consid. 2.2 p. 88).</w:t>
      </w:r>
    </w:p>
    <w:p>
      <w:r>
        <w:t>Pour qu'il y ait escroquerie, une simple tromperie ne suffit pas ; il faut qu'elle soit astucieuse. Il y a tromperie astucieuse lorsque l'auteur recourt à des manoeuvres frauduleuses, à une mise en scène comportant des documents ou des actes ou à un</w:t>
      </w:r>
    </w:p>
    <w:p>
      <w:r>
        <w:t>- 7/16 - P/24249/2018 échafaudage de mensonges qui se recoupent de façon si raffinée que même une victime critique se laisserait tromper (ATF 135 IV 76 consid. 5.2 p. 79 ; ATF 122 IV 197 consid. 3d p. 205). L'astuce ne sera pas réalisée si la dupe pouvait se protéger avec un minimum d'attention ou éviter l'erreur avec le minimum de prudence que l'on pouvait attendre d'elle (ATF 126 IV 165 consid. 2a p. 171; 122 IV 246 consid. 3a et les arrêts cités). Il n'est pas nécessaire qu'elle fasse preuve de la plus grande diligence et qu'elle recoure à toutes les mesures de prudence possibles (ATF 122 IV 246 consid. 3a p. 248).</w:t>
      </w:r>
    </w:p>
    <w:p>
      <w:r>
        <w:t>Ces principes sont également applicables en matière d'aide sociale. Compte tenu du nombre de demandes d'aide sociale, une négligence ne peut ainsi être reprochée à l'autorité lorsque les pièces ne contiennent pas d'indice quant à des revenus ou à des éléments de fortune non déclarés ou qu'il est prévisible qu'elles n'en contiennent pas (arrêt du Tribunal fédéral 6B_22/2011 du 23 mai 2011 consid. 2.1.2 et les arrêts cités).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(ACJP/231/2010 du 22 novembre 2010 consid. 2.1).</w:t>
      </w:r>
    </w:p>
    <w:p>
      <w:r>
        <w:t>Sur le plan subjectif, l'escroquerie est une infraction intentionnelle (ATF 128 IV 18 consid. 3b). Conformément aux règles générales, l'intention doit porter sur l'ensemble des éléments constitutifs objectifs de l'infraction. Il faut en particulier que l'auteur ait eu l'intention de commettre une tromperie astucieuse.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2.2</w:t>
      </w:r>
    </w:p>
    <w:p>
      <w:r>
        <w:t>En l'espèce, il est établi et non contesté que l'appelante n'a pas annoncé les changements intervenus dans son statut matrimonial, alors que son attention avait été attiré sur son obligation y relative.</w:t>
      </w:r>
    </w:p>
    <w:p>
      <w:r>
        <w:t>Ce silence constitue une tromperie au sens de la jurisprudence rappelée plus haut. Au-delà de la question de la reprise ou non de la vie commune, qui pourra en réalité rester ouverte, le remariage en tant que tel n'a pas été annoncé au SCARPA avant le</w:t>
      </w:r>
    </w:p>
    <w:p>
      <w:r>
        <w:rPr>
          <w:b/>
        </w:rPr>
        <w:t>E. 5</w:t>
      </w:r>
    </w:p>
    <w:p>
      <w:r>
        <w:t>L'appelante, qui succombe, supportera les frais de la procédure envers l'État (art. 428 CPP).</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un chef d'étude. En cas d'assujettissement, l'équivalent de la TVA est versé en sus.</w:t>
      </w:r>
    </w:p>
    <w:p>
      <w:r>
        <w:t>Conformément à l'art. 16 al. 2 RAJ, seules les heures nécessaires sont retenues. Elles sont appréciées en fonction notamment de la nature, de l'importance, et des</w:t>
      </w:r>
    </w:p>
    <w:p>
      <w:r>
        <w:t>- 13/16 - P/24249/2018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prise globalement, l'activité de 6h45, hors téléphones et correspondances, exposée par le conseil de l’appelante paraît adéquate et conforme, de sorte qu’elle sera admise sans en reprendre le détail.</w:t>
      </w:r>
    </w:p>
    <w:p>
      <w:r>
        <w:t>En conclusion, l'indemnité sera arrêtée à CHF 1'744.75 correspondant à 6h45 heures d'activité au tarif de CHF 200.-/heure plus la majoration forfaitaire de 20% et l'équivalent de la TVA au taux de 7.7% en CHF 124.75. * * * * *</w:t>
      </w:r>
    </w:p>
    <w:p>
      <w:r>
        <w:t>- 14/16 - P/24249/2018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