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AARP/316/2025 vom 25. August 2025</w:t>
      </w:r>
    </w:p>
    <w:p>
      <w:r>
        <w:t>GE Cour de justice, 2025-08-25, FR</w:t>
      </w:r>
    </w:p>
    <w:p>
      <w:r>
        <w:rPr>
          <w:b/>
        </w:rPr>
        <w:t xml:space="preserve">Quelle: </w:t>
      </w:r>
      <w:r>
        <w:t>https://mcp.opencaselaw.ch/entscheid/ge_gerichte_AARP_316_2025</w:t>
      </w:r>
    </w:p>
    <w:p>
      <w:r>
        <w:t>FR: GE_GERICHTE AARP/316/2025 du 25 août 2025</w:t>
      </w:r>
    </w:p>
    <w:p>
      <w:r>
        <w:t>IT: GE_GERICHTE AARP/316/2025 del 25 agosto 2025</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- 37/86 - P/10729/2022</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6B_1232/2023 du 18 septembre 2024 consid. 3.1.1 ; 6B_575/2024 du 9 septembre 2024 consid. 1.1.2 ; 6B_358/2024 du 12 août 2024 consid. 1.1.3 ; 6B_1210/2023 du 24 avril 2024 consid. 1.1). 2.1.3.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w:t>
      </w:r>
    </w:p>
    <w:p>
      <w:r>
        <w:t>- 38/86 - P/10729/2022 demeurer fragiles si la solution retenue peut être justifiée de façon soutenable par un ou plusieurs arguments de nature à emporter la conviction (arrêts du Tribunal fédéral 6B_623/2012 du 6 février 2013 consid. 2.1 ; 6B_642/2012 du 22 janvier 2013 consid. 1.1). 2.2.1.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135 IV 152 consid. 2.3.1 ; 130 IV 58 consid. 9.2.1). Néanmoins, chaque coauteur n'est responsable que de ce qui est compris dans son intention ; les actes qui vont au-delà ne peuvent lui être imputés (ATF 118 IV 227 consid. 5d/aa, JdT 1994 IV 170). S'agissant de l'excès de l'un des coauteurs, lorsque les limites du plan commun sont franchies parce que l'un des protagonistes commet une infraction différente (excès qualitatif) ou plus grave (excès quantitatif) que celle convenue, il doit en répondre seul (AARP/377/2017 du 21 juin 2017 consid. 4.3 ; L. MOREILLON / A. MACALUSO / N. QUELOZ / N. DONGOIS (éds), Commentaire romand, Code pénal I, art. 1-110 CP, 2e éd., Bâle 2021, n. 108 ad art. 24-27). 2.2.2. En cas de coactivité, chaque protagoniste répond pour ce que les autres ont fait, rendant sans objet la question de la causalité naturelle de la contribution de chaque coauteur prise isolément, une condamnation étant ainsi de mise même si la distribution des rôles des uns ou des autres n'a pu être établie (L. MOREILLON / A. MACALUSO / N. QUELOZ / N. DONGOIS (éds), op. cit., n. 108 ad art. 24-27). 2.3.1. Est qualifié d'agression, à teneur de l'art. 134 CP, le fait de participer à une agression dirigée contre une ou plusieurs personnes au cours de laquelle l'une d'entre elles ou un tiers aura trouvé la mort ou subi une lésion corporelle. 2.3.2.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w:t>
      </w:r>
    </w:p>
    <w:p>
      <w:r>
        <w:t>- 39/86 - P/10729/2022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du Tribunal fédéral 6B_261/2021 du 2 février 2022 consid. 2.1.1 ; 6B_56/2020 du 16 juin 2020 consid. 2.3.2 ; 6B_543/2018 du 21 juin 2018 consid. 1.1.2 ; 6B_745/2017 du 12 mars 2018 consid. 2.3 ; cf. ATF 137 IV 1 s'agissant de la rixe). 2.3.3.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Sur le plan subjectif, l'agression est une infraction intentionnelle, le dol éventuel étant suffisant (ATF 135 IV 152 consid. 2.1.1 ; arrêts du Tribunal fédéral 6B_261/2021 du 2 février 2022 consid. 2.1.1 ; 6B_402/2019 du 27 août 2019 consid. 2.2 ; 6B_516/2014 du 29 janvier 2015 consid. 1). 2.4.1.1. L'art. 156 ch. 1 CP dispose que quiconque, dans le dessein de se procurer ou de procurer à un tiers un enrichissement illégitime, détermine une personne à des actes préjudiciables à ses intérêts pécuniaires ou à ceux d'un tiers, en usant de violence ou en la menaçant d'un dommage sérieux, se rend coupable d'extorsion et chantage. Cette disposition protège simultanément le patrimoine et la liberté, soit les mêmes biens juridiques que le brigandage (art. 140 CP ; B. CORBOZ, Les infractions en droit suisse, vol. II, 3ème éd., 2010, p. 397). 2.4.1.2. L'auteur commet une extorsion aggravée lorsqu'il exerce des violences sur une personne ou s'il menace une personne d'un danger imminent pour la vie ou l'intégrité corporelle (extorsion par brigandage ; art. 156 ch. 3 CP). L'intérêt pratique à distinguer l'extorsion aggravée par brigandage du brigandage est limité puisque ces deux infractions sont punies de la même peine. Le renvoi à l'art. 140 CP figurant à l'art. 156 ch. 3 CP englobe l'ensemble des circonstances aggravantes du brigandage (B. CORBOZ, op. cit., p. 405). 2.4.1.3. Pour que l'extorsion par brigandage soit objectivement réalisée, il faut que l'auteur, par un moyen de contrainte, ait déterminé une personne à accomplir un acte portant atteinte à son patrimoine ou à celui d'un tiers (arrêt du Tribunal fédéral 6B_275/2016 du 9 décembre 2016 consid. 4.1).</w:t>
      </w:r>
    </w:p>
    <w:p>
      <w:r>
        <w:t>- 40/86 - P/10729/2022 2.4.1.4. La loi prévoit deux moyens de contrainte, la violence et la menace d'un danger imminent pour la vie ou l'intégrité corporelle : - la menace est un moyen de pression psychologique : l'auteur doit faire craindre à la victime un danger imminent pour la vie ou l'intégrité corporelle, dont l'arrivée paraît dépendre de sa volonté ; il importe peu qu'en réalité l'auteur ne puisse pas influencer la survenance de l'événement préjudiciable (ATF 106 IV 125 consid. 1a) ou qu'il n'ait pas l'intention de mettre sa menace à exécution ; la menace peut être expresse ou tacite et être signifiée par n'importe quel moyen (ATF 122 IV 322 consid. 1a ; arrêt du Tribunal fédéral 6B_275/2016 du 9 décembre 2016 consid. 4.2.1 et les références) ; - la violence : dans le cas aggravé de l'art. 156 ch. 3 CP, est visée toute force physique exercée sur le corps d'une personne (B. CORBOZ, op. cit., p. 404). L'usage de la contrainte doit avoir déterminé la personne visée à accomplir un acte préjudiciable à ses intérêts pécuniaires ou à ceux d'un tiers. Cela implique que la personne visée ait conservé une certaine liberté de choix et se lèse elle-même ou lèse autrui par son acte. 2.4.1.5. Sur le plan subjectif, il faut que l'auteur ait agi intentionnellement, le dol éventuel étant suffisant, et dans le dessein de se procurer ou de procurer à un tiers un enrichissement illégitime (arrêt du Tribunal fédéral 6B_275/2016 du 9 décembre 2016 consid. 4.2.5). 2.4.2. La distinction entre le brigandage et l'extorsion qualifiée au sens de l'art. 156 ch. 3 CP ne se situe pas dans le point de savoir si l'auteur « prend » ou « se fait remettre ». Bien plutôt, l'élément déterminant est la possibilité pour la victime d'empêcher le résultat par son refus. Ainsi, dans le cas d'une extorsion, l'auteur est, au moins en partie, tributaire de la participation de la victime. Si cette dernière refuse, elle s'expose à la réalisation de la menace ou à la violence, mais préservera son patrimoine. C'est le cas lorsque l'auteur contraint la victime à donner la combinaison d'un coffre. Dans le cas d'un brigandage, la victime, si elle refuse de collaborer, s'expose à une double atteinte, c'est-à-dire la réalisation de la menace ou de la violence et l'atteinte à son patrimoine, l'auteur n'ayant pas besoin de sa collaboration pour s'emparer de la chose. Tel est par exemple le cas de l'auteur qui se rend dans un commerce et réclame le contenu de la caisse qu'il se fait remettre alors qu'il lui aurait suffi de se servir (arrêt du Tribunal fédéral 6B_356/2012 du 1er octobre 2012 consid. 1.2.3). En d'autres termes, la distinction entre le brigandage et l'extorsion renvoie à la question de savoir si le concours de la victime pour obtenir un avantage pécuniaire est nécessaire ou non. Dans l'affirmative, l'art. 156 CP est seul applicable, alors que le brigandage peut être retenu dans la négative (M. DUPUIS / L. MOREILLON / C. PIGUET / S. BERGER / M. MAZOU / V. RODIGARI, Petit Commentaire du Code pénal, 2ème éd., 2017, Bâle, n. 41 ad art. 140).</w:t>
      </w:r>
    </w:p>
    <w:p>
      <w:r>
        <w:t>- 41/86 - P/10729/2022 2.4.3. L'art. 156 CP absorbe la séquestration (art. 183 CP) pour autant que l'atteinte à la liberté n'aille pas au-delà de celle nécessaire à la commission de l'extorsion. Sinon, il y a concours idéal entre ces deux normes (A. MACALUSO / L. MOREILLON / N. QUELOZ (éds), Commentaire romand, Code pénal II, vol. II, Partie spéciale : art. 111- 392 CP, Bâle 2017, n. 34 ad 156). 2.5.1. Selon l'art. 181 CP, se rend coupable de contrainte, quiconque, en usant de violence envers une personne ou en la menaçant d’un dommage sérieux, ou en l’entravant de quelque autre manière dans sa liberté d’action, l’oblige à faire, à ne pas faire ou à laisser faire un acte. 2.5.2. Les éléments constitutifs objectifs de cette infraction sont l'existence d'un comportement de contrainte illicite (1) et d'une influence concrète sur le comportement du lésé causée par ce comportement (2) (AARP/328/2024 du 11 septembre 2024 consid. 4.1.2 ; AARP/42/2024 du 25 janvier 2024 consid. 3.1.1). Le comportement de contrainte peut être constitué par l'usage de la violence, d'une menace sérieuse ou de tout autre méthode dans la mesure où elle est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6B_383/2024 du 7 juin 2024 consid. 2.1.1). Le comportement de contrainte doit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 2.5.3. Sur le plan subjectif, il faut que l'auteur ait agi avec conscience et volonté ; il faut qu'il ait au moins accepté l'éventualité que son comportement illicite entrave la personne visée dans sa liberté de décision (ATF 120 IV 17 consid. 2c ; arrêts du Tribunal fédéral 6B_383/2024 du 7 juin 2024 consid. 2.1.1 ; 6B_543/2022 du 15 février 2023 consid. 7.1 ; 6B_367/2020 du 17 janvier 2022 consid. 13.3.1). 2.5.4. Lorsque la victime ne se laisse pas intimider et n'adopte pas le comportement voulu par l'auteur, ce dernier est punissable de tentative de contrainte (art. 22 al. 1 CP ; ATF 129 IV 262 ; 106 IV 125 consid. 2b ; arrêt du Tribunal fédéral 6B_1407/2021 du</w:t>
      </w:r>
    </w:p>
    <w:p>
      <w:r>
        <w:rPr>
          <w:b/>
        </w:rPr>
        <w:t>E. 7</w:t>
      </w:r>
    </w:p>
    <w:p>
      <w:r>
        <w:t>juillet 2021 (peine hypothétique de 6 mois chacune), de deux mois pour les infractions à l'art. 95 al. 1 let. b LCR (peine hypothétique de deux mois pour chaque occurrence), d'un mois pour l'infraction à l'art. 96 al. 2 LCR (peine hypothétique de deux mois), d'un mois pour l'infraction à l'art. 94 al. 1 let. a LCR (peine hypothétique de trois mois), de trois mois pour tenir compte de la contrainte (peine hypothétique de cinq mois), d'un mois pour la tentative de contrainte (peine hypothétique de deux mois), de huit mois pour les divers délits à la LStup (peine hypothétique de cinq mois pour chacune des infractions à l'art. 19 al. 1 LStup et de quatre mois pour celle à l'art. 20 al. 1 LStup). La peine d'ensemble aurait ainsi été arrêtée à 46 mois et la peine privative de liberté additionnelle à 40 mois. Il convient encore de prononcer une peine indépendante pour les faits commis postérieurement au prononcé du 12 avril 2022, à savoir l'infraction d'extorsion et chantage aggravé qui doit être sanctionnée d'une peine privative de liberté de 36 mois. Au total, la peine privative de liberté qui devrait être prononcée à l'encontre de J______ s'élèverait ainsi à 76 mois. En vertu de l'interdiction de la reformatio in pejus, faute d'appel du MP, la quotité en sera toutefois ramenée à un total de 66 mois, conformément aux dispositifs des jugements rendus les 3 juin et 2 juillet 2024. Au vu de cette quotité, le prévenu ne saurait en principe bénéficier du sursis, même partiel. Cela étant, et dans la mesure où il a été mis au bénéfice du sursis partiel aux termes des deux jugements dont il a fait l'objet, le prononcé d'une peine ferme à la suite de la jonction des procédures heurterait le principe de l'interdiction de la reformatio in pejus qui se mesure à l'aune du dispositif. Dans ces circonstances, il faut confirmer les dispositifs des deux jugements entrepris en vain. Pour le surplus, la peine pécuniaire de 60 jours-amende à CHF 30.- l'unité pour l'infraction à l'art. 95 al. 1 let. b LCR commise le 26 juin 2022 apparaît juste et raisonnable, voire clémente dans la mesure où, comme vu ci-dessus, les conditions d'une peine privative de liberté étaient réalisées de sorte qu'elle sera confirmée. Il en va de même des amendes prononcées à l'encontre de J______ pour infractions à l'art. 19a LStup. La non révocation du sursis octroyé le 12 avril 2022 par l'Untersuchungsamt S______ est acquise à l'appelant. L'appel de J______ est rejeté et les jugements rendus à son encontre les 3 juin et 2 juillet 2024 confirmés.</w:t>
      </w:r>
    </w:p>
    <w:p>
      <w:r>
        <w:t>- 65/86 - P/10729/2022 3.7.1. Enfin, force est de constater que la faute de M______ est également grave. Il s'en est pris à la liberté d'une personne qu'il ne connaissait pas, attiré par l'appât du gain facile et rapide sans songer aux conséquences de ses actes. Il a en outre conduit sans permis de conduire, portant ainsi atteinte à la sécurité routière, et s'est rendu coupable de faux dans les certificats en se légitimant auprès des autorités au moyen d'une copie d'un permis de conduire qui n'était pas le sien. Ses mobiles sont essentiellement égoïstes. Il a agi par appât du gain facile et par pure convenance personnelle. En revanche, sa collaboration a été très bonne au cours de la procédure. Se démarquant en cela fortement de l'attitude des autres protagonistes, il a immédiatement reconnu les faits reprochés et participé activement à l'établissement de leur déroulement. Sa situation personnelle n'explique ni ne justifie ses actes. M______ a fait preuve d'une empathie sincère envers la victime et lui a adressé, à plusieurs reprises, ses excuses tout en exprimant des regrets qui apparaissent, eux- aussi, sincères. Il a en outre versé un pécule à la LAVI destiné à la victime et s'est engagé à poursuivre ses versements, malgré une situation financière peu aisée et quatre enfants, dont deux sont entièrement à sa charge. Par son comportement, il a su démontrer une prise de conscience concrète de la gravité de ses actes, mais également des conséquences de ceux-ci pour la victime, ainsi que pour la société, ce dont il sera tenu compte dans la fixation de sa peine. Il faut cela étant relever qu'il est regrettable que la prise de conscience ne soit pas allée jusqu'à la reconnaissance de la gravité, au plan de la qualification juridique, de son comportement. Il y a concours d'infractions, facteur aggravant de la peine. Les antécédents de M______ sont mauvais et spécifiques, celui-ci ayant été condamné, outre durant sa minorité, à pas moins de cinq reprises depuis sa majorité pour de multiples infractions dont certaines sont graves. Ses multiples récidives, en partie spécifiques, démontrent que ses condamnations n'ont pas suffi à la détourner de la commission d'actes similaires. Son pronostic apparaît dès lors sous un jour défavorable, de sorte que seule une peine privative de liberté entre en considération, pour l'ensemble des infractions reprochées. Il sera néanmoins tenu compte de son évolution, de sa prise de conscience et du fait que l'intensité délictuelle de son comportement s'agissant de l'infraction d'extorsion et chantage aggravé est plus faible que celle de son comparse D______, pour les mêmes motifs qu'évoqué supra 3.6.1.</w:t>
      </w:r>
    </w:p>
    <w:p>
      <w:r>
        <w:t>- 66/86 - P/10729/2022 3.7.2. La peine à fixer est complémentaire à celle prononcée le 5 juillet 2022 par le TCO. Si toutes les infractions avaient dû être coréprimées, le tribunal aurait retenu comme infraction la plus grave celle d'extorsion et chantage aggravé, laquelle doit être réprimée d'une peine privative de liberté de 32 mois, qu'il aurait aggravée de 12 mois pour l'infraction de brigandage (peine hypothétique de 18 mois), de huit mois pour l'infraction d'escroquerie (peine hypothétique de 12 mois), de deux mois pour l'infraction de menaces (peine hypothétique de trois mois), d'un mois pour l'infraction de vol (peine hypothétique de deux mois), d'un mois pour l'infraction de faux dans les certificats (peine hypothétique de deux mois), de deux mois pour l'infraction de conduite sans permis (peine hypothétique de trois mois), et de deux mois pour l'infraction à la LArm (peine hypothétique de trois mois). La peine d'ensemble aurait ainsi été arrêtée à 60 mois, d'où une peine privative de liberté additionnelle de 36 mois. Celle-ci sera ramenée à 30 mois en vertu de l'interdiction de la reformatio in pejus. Cet appelant ne saurait être mis au bénéfice du sursis partiel, faute de circonstances particulièrement favorables au sens de la jurisprudence. En effet, l'évolution positive du prévenu n'est pas suffisante à elle seule pour justifier l'octroi du sursis partiel, au vu de ses nombreux antécédents graves, sa dernière condamnation à une peine de prison ferme, alors qu'il était déjà père, notamment pour des faits de violence, remontant au 5 juillet 2022. L'appel du prévenu sera rejeté et le jugement entrepris confirmé. 4. 4.1.1. Selon l'art. 61 al. 1 CP,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qu'il est à prévoir que cette mesure le détournera de nouvelles infractions en relation avec ces troubles (let. b).</w:t>
      </w:r>
    </w:p>
    <w:p>
      <w:r>
        <w:t>4.1.2. L'exécution d'une des mesures prévues aux art. 59 à 61 CP prime une peine privative de liberté prononcée conjointement (art. 57 al. 2, 1ère phrase CP). La durée de la privation de liberté entraînée par l’exécution de la mesure est imputée sur la durée de la peine (art. 57 al. 3 CP).</w:t>
      </w:r>
    </w:p>
    <w:p>
      <w:r>
        <w:t>4.1.3.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Le principe est que la peine est exécutée et que le traitement ambulatoire est suivi en même temps (arrêts du Tribunal fédéral 6B_1150/2014 du 19 novembre 2015 consid. 3.2.2 et 6B_335/2012 du 13 août 2012 consid. 2.1).</w:t>
      </w:r>
    </w:p>
    <w:p>
      <w:r>
        <w:t>- 67/86 - P/10729/2022</w:t>
      </w:r>
    </w:p>
    <w:p>
      <w:r>
        <w:t>4.1.4. Si plusieurs mesures s'avèrent nécessaires, le juge peut les ordonner conjointement (art. 56a al. 2 CP).</w:t>
      </w:r>
    </w:p>
    <w:p>
      <w:r>
        <w:t>4.2. En l'espèce, les experts ont retenu que le prévenu D______ souffrait de troubles mentaux graves, soit un trouble du développement intellectuel léger et un trouble léger de la personnalité. Ils ont également diagnostiqué une dépendance au cannabis, avec rémission complète précoce, et un trouble psychotique aigu transitoire. Selon eux, les actes reprochés étaient en lien avec son état mental et il existait un risque de récidive moyen à élevé de commission d'infractions du même genre. Ils concluaient qu'une peine seule n'était pas suffisante pour écarter ce risque et préconisaient un traitement psychiatrique et psychothérapeutique sur cinq ans, qui pouvait être ambulatoire, ainsi qu'un placement dans un établissement pour jeunes adultes.</w:t>
      </w:r>
    </w:p>
    <w:p>
      <w:r>
        <w:t>Le prévenu s'est dit favorable à la mesure, en cas de peine ferme, et ne s'est pas opposé formellement à un traitement ambulatoire. Il a du reste indiqué lors des débats d'appel qu'il acceptait le diagnostic de trouble du développement intellectuel posé par les experts et indiqué qu'il était compliant au suivi psychothérapeutique dont il retirait un réel bénéfice.</w:t>
      </w:r>
    </w:p>
    <w:p>
      <w:r>
        <w:t>Au vu de ce qui précède, il n'y a pas lieu de s'écarter de l'appréciation des experts. Dans la mesure où les conditions d'application des art. 61 et 63 sont remplies, le TCO a prononcé à raison le placement du prévenu dans un établissement pour jeunes adultes et imposé une mesure ambulatoire. Du reste, le MP ne le conteste pas non plus. 5. 5.1. Conformément à l'art. 122 al. 1 CPP, la personne lésée peut, dans le cadre d'une procédure pénale, en tant que partie plaignante contre l'accusé, faire valoir les droits civils découlant de l'infraction par voie d'adhésion. Le tribunal statue sur les conclusions civiles présentées lorsqu'il rend un verdict de culpabilité à l'encontre du prévenu (art. 126 al. 1 let. a CPP).</w:t>
      </w:r>
    </w:p>
    <w:p>
      <w:r>
        <w:t>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 5.2.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w:t>
      </w:r>
    </w:p>
    <w:p>
      <w:r>
        <w:t>- 68/86 - P/10729/2022 concomitante de la victime (ATF 132 II 117 consid. 2.2.2).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(ATF 143 IV 339 consid. 3.1). D'une manière générale, la jurisprudence tend à allouer des montants de plus en plus importants à ce titre (ATF 125 III 269 consid. 2a). 5.3. Le guide relatif à la fixation du montant de la réparation morale selon la loi sur l'aide aux victimes (LAVI) établi le 3 octobre 2019 par l'Office fédéral de la justice (OFJ) propose une indemnité jusqu'à CHF 5'000.- pour des "atteintes corporelles non négligeables, en voie de guérison ; atteintes de peu de gravité avec circonstances aggravantes" (exemples : fractures et commotions cérébrales) et entre CHF 5'000.- et CHF 10'000.- pour des "Atteintes corporelles à la guérison plus lente et plus complexe avec séquelles tardives éventuelles" (exemples : opérations, longues réhabilitations, dégradation de la vue, paralysie intestinale, sensibilité accrue aux infections). 5.4.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5.5. À titre d'exemples, la CPAR a fixé une indemnité de : - CHF 4'000.- pour un homme ayant été victime d'un coup de couteau à l'arrière du bras gauche et de multiples coups de chaîne en métal sur la tête et ayant subi de nombreuses lésions, dont deux plaies à bords nets à l'arrière du bras gauche, ce qui a laissé une cicatrice. Il avait été acheminé à l'hôpital en urgence, où il avait subi une opération et été hospitalisé deux jours. Il avait été mis en arrêt de travail durant deux semaines. Il présentait encore des séquelles psychologiques huit mois après les faits (AARP/122/2024 du 27 mars 2024 consid. 2.4.2.) ; - CHF 5'000.- à une victime ayant reçu plusieurs coups de poing et de barre en métal sur la tête, les épaules et le dos, puis subi une agression au couteau lors de laquelle elle a été blessée aux mains en se protégeant le visage, avant d'être saisie au cou par son agresseur, ce qui lui avait causé des difficultés respiratoires. Ces lésions avaient entraîné une hospitalisation de quelques heures, quelques examens complémentaires, quatre points de sutures et une exploration des nerfs de la main. Un peu plus de dix mois après les faits, elle avait retrouvé la mobilité de ses mains et n'avait plus de séquelles physiques. Durant trois ou quatre mois, elle avait suivi un programme de soins intensifs en raison d'un épisode dépressif sévère et un traitement</w:t>
      </w:r>
    </w:p>
    <w:p>
      <w:r>
        <w:t>- 69/86 - P/10729/2022 pharmacologique avait été mis en place. Elle souffrait toujours de flashbacks, d'hypervigilance, de cauchemars et poursuivait la prise d'antidépresseurs et de calmants (AARP/144/2025 du 8 avril 2025 consid. 6.2) ; - CHF 7'000.- à une femme ayant subi des lésions corporelles qui ont entraîné une hospitalisation de quelques heures, des plaies qui ont dû être nettoyées et suturées et nécessité cinq rendez-vous de contrôle, puis des traitements (30 séances de physiothérapie, recours au laser) sur plusieurs mois, voire plusieurs années, des lésions aux dents qui ont requis la pose d'implants, ainsi que des souffrances psychiques. La victime a en outre présenté une incapacité de travail d'un mois (AARP/227/2025 du 18 juin 2025 consid. 5.4) ; - CHF 12'000.- à une victime de tentative de meurtre qui a reçu huit coups de couteau, a dû être opérée sous anesthésie générale et hospitalisée durant dix jours. À la suite de son agression, elle a été incapable de travailler pendant un mois et son état psychique s'est péjoré avec la survenance d'un syndrome de stress post-traumatique, conséquence de son agression, un suivi psychothérapeutique de près d'un an et demi s'étant avéré nécessaire, les symptômes subsistant encore près de trois ans après les faits. La victime conservait en outre des cicatrices susceptibles de l'amener à devoir se remémorer les faits (AARP/437/2024 du 4 décembre 2024 consid. 4.2). 5.6.1. Lorsque plusieurs ont causé ensemble un dommage, ils sont tenus solidairement de le réparer sans qu'il y ait lieu de distinguer entre l'instigateur, l'auteur principal et le complice (art. 50 al. 1 CO). La victime peut, à son choix, exiger de tous les responsables ou de l'un d'eux l'exécution intégrale ou partielle de l'obligation (art. 144 al. 1 CO). Les débiteurs demeurent tous obligés jusqu'à l'extinction totale de la dette (art. 144 al. 2 CO). Celui des débiteurs solidaires dont le paiement ou la compensation éteint la dette en totalité ou en partie libère les autres jusqu'à concurrence de la portion éteinte (art. 147 al. 1 CO). 5.6.2. L'application de l'art. 50 al. 1 CO suppose que les coresponsables causent ensemble un préjudice par une faute commune, hypothèse dans laquelle on parle de solidarité parfaite. La faute commune suppose une association dans l'activité préjudiciable, soit la conscience de collaborer au résultat, la faute pouvant être intentionnelle ou commise par négligence, le dol éventuel étant suffisant. L'art. 50 al. 1 CO suppose également un lien de causalité entre le préjudice et la faute commise. Aussi, lorsque plusieurs personnes participent ensemble à une activité dangereuse, il importe peu de savoir laquelle d'entre elles est à l'origine du préjudice, de sorte que ce ne sont pas les actions séparées qui sont déterminantes, mais leur volonté commune (L. THEVENOZ / F. WERRO [éd.], Commentaire romand : Code des obligations, volume I, 2e éd., Bâle 2012, n. 3 et 4s ad art. 50).</w:t>
      </w:r>
    </w:p>
    <w:p>
      <w:r>
        <w:t>- 70/86 - P/10729/2022 5.7. Les parties plaignantes peuvent toutes deux prétendre à la réparation de leur tort moral. 5.7.1. Les prévenus ne contestent pas les conclusions civiles de O______ au-delà de l'acquittement plaidé. Dans la mesure où leur responsabilité pour l'agression subie par le plaignant est établie et leur culpabilité confirmée, ce dernier est fondé à leur réclamer une indemnité pour tort moral. L'agression subie par O______ a été violente : il a été frappé à plusieurs reprises par plusieurs individus – dont à tout le moins les trois prévenus – à la tête, mais également sur tout le corps avec les pieds, les poings et des bouteilles en verre. À cet égard, la témoin BG______ a d'ailleurs déclaré qu'il était défiguré après l'agression et qu'elle avait pensé que les agresseurs allaient le tuer. Les lésions corporelles subies par O______ sont établies par le constat médical des HUG du 3 avril 2021. Il en ressort que celui-ci a notamment souffert de divers hématomes, dermabrasions, ecchymoses, douleurs diverses, ainsi que de plusieurs plaies, dont deux au visage, lesquelles sont encore visibles aujourd'hui sous la forme de cicatrices. Il est également établi et non contesté que le plaignant a été suivi par un psychiatre et psychothérapeute FMH du 4 octobre 2021 au 9 février 2022 dans le contexte de l'agression subie. Son psychiatre établissait alors que les symptômes qu'il décrivait allaient dans le sens d'un état de stress post-traumatique pour lequel il avait été médicamenté (somnifère, calmant et antidépresseur). Malgré l'arrêt volontaire de son suivi thérapeutique, O______ a indiqué souffrir encore des suites de son agression : les cicatrices qu'il conservait au visage lui faisaient repenser à ces événements traumatiques et il avait dû renoncer à sa pratique des sports de combat, soit sa passion, en raison d'un craquement douloureux au genou. Il avait pensé avoir frôlé la mort et ignorait s'il pourrait se remettre d'un tel sentiment. Le plaignant a ainsi été atteint dans sa santé physique, mais aussi psychique. Sans que ces souffrances ne soient remises en cause, il importe toutefois de relever que ses blessures n'ont pas nécessité d'hospitalisation, d'opération ou de rééducation, ne sont pas assimilables à une atteinte permanente ou à tout le moins durable, et que sa vie n'a pas été mise en danger. L'évolution de son état de santé, tant physique que psychique, n'a en outre pas été objectivée, faute de documents médicaux actualisés produits en ce sens, de sorte que l'on ne peut se déterminer avec certitude sur la symptomatologie que le plaignant décrit conserver, hormis l'inconfort psychique lié aux cicatrices présentes sur son visage. À cet égard, il importe de relever que ses cicatrices, bien que visibles compte tenu de leur emplacement, restent relativement discrètes de sorte qu'il n'est, et cela est heureux, pas à proprement parler défiguré. Dans ces circonstances, et eu également égard à la casuistique jurisprudentielle, une indemnité de CHF 5'000.- apparaît justifiée et adéquate. À cet égard, les exemples cités par le conseil de la partie plaignante ne sont pas propres à remettre en cause les</w:t>
      </w:r>
    </w:p>
    <w:p>
      <w:r>
        <w:t>- 71/86 - P/10729/2022 conclusions qui précèdent. D'une part, toute comparaison dans ce domaine doit être faite avec la plus grande prudence pour les motifs rappelés supra, d'autre part, les cas évoqués ne sont pas comparables avec celui du cas d'espèce (nature de la blessure, emplacement, ampleur et conséquence) : enfant de quatre ans et deux mois blessée par un chien au visage, blessure qui a nécessité une opération urgente, suivi d'une hospitalisation et subsistance d'une cicatrice entre la lèvre supérieure et la base du nez – cicatrice qu'il est impossible d'éliminer et dont l'emplacement exclut de la dissimuler, une atteinte fonctionnelle future n'étant pas exclue (CHF 12'000.-) ; agression au couteau avec subsistance de deux longues cicatrices au visage, l'une à la joue, et l'autre au cou, lesquelles ne peuvent pas être éliminées par la chirurgie plastique et restent visibles malgré le port d'une barbe (CHF 10'000.-) ; taches sur les joues et le cou des deux côtés résultant de brûlures, séquelles pouvant être dissimulées avec du maquillage (CHF 10'000.-). Partant, D______, A______ et G______ seront condamnés – conjointement et solidairement – à verser à O______ CHF 5'000.- à titre de réparation de son tort moral avec intérêts à 5% l'an dès le 3 avril 2021. L'appel des prévenus de même que l'appel joint de la partie plaignante seront rejetés et le jugement du TCO confirmé sur ce point. 5.7.2.1. À titre liminaire, il importe de relever qu'il n'y a pas lieu de revenir sur l'indemnité allouée à Q______ pour son dommage matériel, du reste établi par pièces (TCO 3'047, TCO 3'048) et incontesté par les prévenus. Partant, leur condamnation conjointe et solidaire à payer à Q______ un montant de CHF 5'070.- à titre de réparation du dommage matériel (art. 41 CO) sera confirmée. 5.7.2.2. S'agissant du montant de l'indemnité pour tort moral, il n'y a pas lieu non plus d'y revenir en détails dans la mesure où la culpabilité des prévenus est entièrement confirmée, ces derniers ne critiquant pas la quotité de l'indemnité en tant que telle. Quoi qu'il en soit, cette dernière apparaît justifiée eu égard à la gravité des faits et aux conséquences que ceux-ci ont eu tant sur la santé physique que psychique de Q______, étant rappelé qu'il a été privé de sa liberté dans des circonstances particulièrement violentes, menacé d'une arme durant la quasi-totalité de son agression, frappé et menacé verbalement en présence de quatre prévenus déterminés à s'emparer de son argent. Ses blessures sont établies à teneur du dossier, de même que l'état de stress post-traumatique dont il a souffert encore plusieurs mois après les faits. Ses proches ont également témoigné de l'impact que ces faits ont eu sur son quotidien, son ami BI______ ayant à cet égard déclaré qu'il y avait eu "un avant et un après" dans la vie de Q______ et sa mère que des séquelles étaient toujours présentes. Les événements ont aussi eu des conséquences négatives sur sa vie professionnelle, élément dont il doit être tenu compte dans l'établissement du tort moral.</w:t>
      </w:r>
    </w:p>
    <w:p>
      <w:r>
        <w:t>- 72/86 - P/10729/2022 Les prévenus ayant agi en coactivité, leur condamnation conjointe et solidaire à réparer le préjudice causé est fondé et l'appel y relatif de J______ sera rejeté. Le jugement du TCO sera ainsi confirmé, étant relevé que l'autorité de première instance aurait pu condamner J______ et M______ à la totalité du dommage en application de l'art. 50 al. 1 CO, ce que la CPAR renoncera à faire, Q______ n'ayant pas formé appel du jugement de première instance. L'appel des prévenus sera rejeté et le jugement du TCO confirmé sur ce point. 6. 6.1.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6.2. Les appelants et appelant joint succombent tous, à l'exception de D______, lequel a très partiellement gain de cause sur son appel. Dans ces circonstances, il convient de mettre à sa charge 1/8ème des frais de la procédure d'appel. A______, G______, J______, M______ et O______ seront quant à eux condamnés, chacun, à 1/6ème des frais de la procédure, le solde étant laissé à la charge de l'État. 6.3. Il n'y pas lieu de revoir la répartition des frais de première instance au vu de la confirmation des verdicts de culpabilité rendus à l'égard des prévenus.</w:t>
      </w:r>
    </w:p>
    <w:p>
      <w:r>
        <w:rPr>
          <w:b/>
        </w:rPr>
        <w:t>E. 7.1</w:t>
      </w:r>
    </w:p>
    <w:p>
      <w:r>
        <w:t>La décision sur le sort des frais de la procédure préjuge de celle sur les indemnités de procédure au sens des art. 429, 433 et 436 CPP (ATF 147 IV consid. 4.1 et 137 IV 352 consid. 2.4.2).</w:t>
      </w:r>
    </w:p>
    <w:p>
      <w:r>
        <w:rPr>
          <w:b/>
        </w:rPr>
        <w:t>E. 7.2</w:t>
      </w:r>
    </w:p>
    <w:p>
      <w:r>
        <w:t>Dans la mesure où l'activité déployée par le conseil de l'appelant J______ relève de la défense privée, les prétentions de ce dernier fondées sur l'art. 429 CPP doivent être rejetées vu l'issue de la cause.</w:t>
      </w:r>
    </w:p>
    <w:p>
      <w:r>
        <w:rPr>
          <w:b/>
        </w:rPr>
        <w:t>E. 8.1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w:t>
      </w:r>
    </w:p>
    <w:p>
      <w:r>
        <w:t>- 73/86 - P/10729/2022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- 74/86 - P/10729/2022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8.4</w:t>
      </w:r>
    </w:p>
    <w:p>
      <w:r>
        <w:t>Vu les principes qui précèdent, il sera retranché de l'état de frais de Me F______, défenseur d'office de D______, le temps consacré à la rédaction de la déclaration d'appel (01h00), dite activité étant couverte de manière adéquate par le forfait, ainsi que l'examen du dossier effectué par le chef d'étude le 23 mai 2025 (20 minutes) cette activité apparaissant superflue dans la mesure où le travail de préparation de plaidoirie avait déjà été effectué par le collaborateur à ce stade, lequel a représenté seul le client en audience. Qui plus est, 02h00 apparaissent largement suffisantes pour réviser le dossier de procédure et la plaidoirie, l'audience ayant initialement été agendée au mois de janvier 2025 de sorte que le travail de préparation devait nécessairement avoir été déjà effectué en amont de cette date.</w:t>
      </w:r>
    </w:p>
    <w:p>
      <w:r>
        <w:t>En conclusion, la rémunération de Me F______ sera arrêtée à CHF 5'754.60 correspondant à 28h20 d'activité de collaborateur au tarif horaire de CHF 150.- (CHF 4'250.-), plus la majoration forfaitaire de 10% (vu l'activité déjà indemnisée en première instance ; CHF 425.-), quatre vacations au tarif de CHF 75.- chacune (CHF 300.-), ce à quoi il convient encore d'ajouter 1h35 d'activité de chef d'Etude au tarif horaire de CHF 200.- (CHF 316.70), la majoration forfaitaire de 10% (CHF 31.70) et l'équivalent de la TVA au taux de 8.1% (CHF 431.20).</w:t>
      </w:r>
    </w:p>
    <w:p>
      <w:r>
        <w:rPr>
          <w:b/>
        </w:rPr>
        <w:t>E. 8.5</w:t>
      </w:r>
    </w:p>
    <w:p>
      <w:r>
        <w:t>Le temps d'étude de dossier et de préparation de plaidoirie du mois de mai 2025 de Me C______, défenseur d'office de A______, sera réduit à 02h00 pour les mêmes motifs que développés supra consid. 8.4.</w:t>
      </w:r>
    </w:p>
    <w:p>
      <w:r>
        <w:t>La rémunération de Me C______ sera partant arrêtée à CHF 6'406.70 correspondant à 24h40 d'activité de chef d'étude au tarif de CHF 200.-/heure (CHF 4'933.30) plus la</w:t>
      </w:r>
    </w:p>
    <w:p>
      <w:r>
        <w:t>- 75/86 - P/10729/2022 majoration forfaitaire de 10% (CHF 493.30), cinq vacations à CHF 100.- chacune (CHF 500.-) et l'équivalent de la TVA au taux de 8.1% en CHF 480.10.</w:t>
      </w:r>
    </w:p>
    <w:p>
      <w:r>
        <w:rPr>
          <w:b/>
        </w:rPr>
        <w:t>E. 8.6</w:t>
      </w:r>
    </w:p>
    <w:p>
      <w:r>
        <w:t>Il sera retranché de l'état de frais de Me I______, défenseure d'office de G______, le temps consacré à la rédaction de la déclaration d'appel (30 minutes), dite activité étant couverte de manière adéquate par le forfait, et le temps de préparation d'audience et de plaidoirie du mois de mai 2025 sera réduit à 02h00 pour les mêmes motifs que développés supra consid. 8.4.</w:t>
      </w:r>
    </w:p>
    <w:p>
      <w:r>
        <w:t>En conclusion, la rémunération de Me I______ sera arrêtée à CHF 6'496.80 correspondant à 25h30 heures d'activité au tarif de CHF 200.-/heure (CHF 5'100.-) plus la majoration forfaitaire de 10% (CHF 510.-), quatre vacations à CHF 100.- chacune (CHF 400.-), et l'équivalent de la TVA au taux de 8.1% en CHF 486.80.</w:t>
      </w:r>
    </w:p>
    <w:p>
      <w:r>
        <w:rPr>
          <w:b/>
        </w:rPr>
        <w:t>E. 8.7</w:t>
      </w:r>
    </w:p>
    <w:p>
      <w:r>
        <w:t>Il sera retranché de l'état de frais de Me CC______, défenseure d'office de J______, le temps consacré à la rédaction de l'annonce et de la déclaration d'appel, ainsi qu'à la confection d'un bordereau de pièces (1h10 au total), dite activité étant couverte de manière adéquate par le forfait ou relevant, pour la seconde, du travail de secrétariat. Sa rémunération sera dès lors arrêtée à CHF 550.- correspondant à 2h30 heures d'activité au tarif de CHF 200.-/heure (CHF 500.-) plus la majoration forfaitaire de 10% (CHF 50.-), cette activité n'étant pas soumise à la TVA.</w:t>
      </w:r>
    </w:p>
    <w:p>
      <w:r>
        <w:rPr>
          <w:b/>
        </w:rPr>
        <w:t>E. 8.8</w:t>
      </w:r>
    </w:p>
    <w:p>
      <w:r>
        <w:t>Me L______, défenseure d'office de l'appelant J______ qui a succédé à Me CC______, n'a pas déposé d'état de frais permettant d'identifier quelle était l'activité par elle déployée sous l'égide de l'assistance judiciaire, alors même que son attention avait été expressément attirée sur la nécessité de tenir une comptabilité séparée de ses diligences couvertes et non couvertes. Il n'est donc pas possible de procéder à sa taxation. Aucune indemnité ne lui est, partant, allouée.</w:t>
      </w:r>
    </w:p>
    <w:p>
      <w:r>
        <w:rPr>
          <w:b/>
        </w:rPr>
        <w:t>E. 8.9</w:t>
      </w:r>
    </w:p>
    <w:p>
      <w:r>
        <w:t>Il sera également retranché de l'état de frais de Me N______, défenseur d'office de M______, le temps consacré à la rédaction de la déclaration d'appel (45 minutes), ainsi que la prise de connaissance des écritures des autres parties à la procédure (55 minutes), dites activités étant couvertes de manière adéquate par le forfait. En outre, les postes d'examen du dossier et de préparation de plaidoirie postérieurs au mois de janvier 2025 doivent être ramenés à 02h00 d'activité pour les mêmes motifs que développé supra consid. 8.4, étant précisé que le temps de consultation du dossier par l'avocat-stagiaire sera en revanche indemnisé.</w:t>
      </w:r>
    </w:p>
    <w:p>
      <w:r>
        <w:t>Aussi, la rémunération de Me N______ sera arrêtée à CHF 8'336.80 correspondant à 33h10 d'activité au tarif de CHF 200.-/heure (CHF 6'633.30) plus la majoration forfaitaire de 10% (CHF 663.30), trois vacations à CHF 100.- chacun (CHF 300.-),</w:t>
      </w:r>
    </w:p>
    <w:p>
      <w:r>
        <w:t>- 76/86 - P/10729/2022 ainsi que 30 minutes au tarif de CHF 110.-/heure (CHF 55.-), plus la majoration forfaitaire de 10% (CHF 5.50) et une vacation à CHF 55.-, et l'équivalent de la TVA au taux de 8.1% en CHF 624.70.</w:t>
      </w:r>
    </w:p>
    <w:p>
      <w:r>
        <w:rPr>
          <w:b/>
        </w:rPr>
        <w:t>E. 8.10</w:t>
      </w:r>
    </w:p>
    <w:p>
      <w:r>
        <w:t>Le temps de relecture des pièces essentielles et de révision de la plaidoirie du mois de mai 2025 (volet O______) sera ramené à 02h00 pour les mêmes motifs qu'exposés supra consid. 8.4.</w:t>
      </w:r>
    </w:p>
    <w:p>
      <w:r>
        <w:t>La rémunération de Me P______ en lien avec la défense des intérêts de O______ sera dès lors arrêtée à CHF 5'615.80 correspondant à 22h15 d'activité de cheffe d'étude au tarif de CHF 200.-/heure (CHF 4'450.-) plus la majoration forfaitaire de 10% (CHF 445.-), trois vacations à CHF 100.- chacune (CHF 300.-) et l'équivalent de la TVA au taux de 8.1% en CHF 420.80.</w:t>
      </w:r>
    </w:p>
    <w:p>
      <w:r>
        <w:rPr>
          <w:b/>
        </w:rPr>
        <w:t>E. 8.11</w:t>
      </w:r>
    </w:p>
    <w:p>
      <w:r>
        <w:t>Le temps de relecture des pièces essentielles et de révision de la plaidoirie du mois de mai 2025 (volet Q______) sera ramené à 02h00 pour les mêmes motifs qu'exposés supra consid. 8.4. Seule sera prise en considération, au titre de la défense de cette partie plaignante, la présence de la collaboratrice lors des débats d'appel, les deux avocates s'étant réparti le travail.</w:t>
      </w:r>
    </w:p>
    <w:p>
      <w:r>
        <w:t>En conclusion, la rémunération de Me P______ sera arrêtée à CHF 4'895.55 correspondant à 01h00 d'activité de cheffe d'étude au tarif de CHF 200.-/heure (CHF 200.-), ainsi que 24h45 d'activité de collaboratrice au tarif de CHF 150.-/heure (CHF 3'712.50.-) plus la majoration forfaitaire de 10% (CHF 391.25.-), trois vacations à CHF 75.- chacune (CHF 225.-) et l'équivalent de la TVA au taux de 8.1% en CHF 366.80. * * * * *</w:t>
      </w:r>
    </w:p>
    <w:p>
      <w:r>
        <w:t>- 77/86 - P/10729/2022</w:t>
      </w:r>
    </w:p>
    <w:p>
      <w:r>
        <w:rPr>
          <w:b/>
        </w:rPr>
        <w:t>E. 12</w:t>
      </w:r>
    </w:p>
    <w:p>
      <w:r>
        <w:t>septembre 2013 ; AARP/142/2016 du 14 avril 2016 consid. 5.4.1, AARP/281/2015 du 25 juin 2015 et AARP/272/2015 du 1er juin 2015), contrairement au cas où un examen plus poussé s'imposait, notamment aux fins de déterminer l'opportunité d'un recours au plan cantonal (AARP/184/2016 du 28 avril 2016 consid. 5.3.1 et AARP/158/2016 du 22 avril 2016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