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AARP/313/2023 vom 28. August 2023</w:t>
      </w:r>
    </w:p>
    <w:p>
      <w:r>
        <w:t>GE Cour de justice, 2023-08-28, FR</w:t>
      </w:r>
    </w:p>
    <w:p>
      <w:r>
        <w:rPr>
          <w:b/>
        </w:rPr>
        <w:t xml:space="preserve">Quelle: </w:t>
      </w:r>
      <w:r>
        <w:t>https://mcp.opencaselaw.ch/entscheid/ge_gerichte_AARP_313_2023</w:t>
      </w:r>
    </w:p>
    <w:p>
      <w:r>
        <w:t>FR: GE_GERICHTE AARP/313/2023 du 28 août 2023</w:t>
      </w:r>
    </w:p>
    <w:p>
      <w:r>
        <w:t>IT: GE_GERICHTE AARP/313/2023 del 28 agosto 2023</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t>- 8/19 - P/11791/2022</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ou encore lorsque le juge condamne le prévenu au seul motif que sa culpabilité est plus vraisemblable que son innocence (ATF 144 IV 345 consid. 2.2.3.3 ; 127 I 38 consid. 2a p. 40).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Se rend coupable d'injure quiconque aura, par la parole, l'écriture, l'image, le geste ou par des voies de fait, attaqué autrui dans son honneur (art. 177 al. 1 CP). L'art. 177 al. 2 CP permet au juge d'exempter l'auteur d'une injure de toute peine si l'injurié a directement provoqué l'injure par une conduite répréhensible. Il s'agit d'une faculté, non d'une obligation (ATF 109 IV 39 consid. 4b in fine). Le juge peut ou non exempter l'auteur de toute peine, mais il peut aussi se limiter à atténuer cette dernière. Il dispose à cet égard d'un large pouvoir d'appréciation (arrêt du Tribunal fédéral 6B_640/2008 du 12 février 2009 consid. 2.1). Le juge ne peut faire usage de la faculté que lui réserve l'art. 177 al. 2 CP que si l'injure a consisté en une réaction immédiate à un comportement répréhensible de l'injurié, lequel peut consister en une provocation ou en tout autre comportement blâmable (arrêt du Tribunal fédéral 6B_602/2009 du 29 septembre 2009 consid. 2.2). Ce comportement ne doit pas nécessairement viser l'auteur de l'injure. Une conduite grossière en public peut suffire (ATF 117 IV 270 consid. 2c). La notion d'immédiateté doit être comprise comme une notion temporelle, en ce sens que l'auteur doit avoir agi sous le coup de l'émotion provoquée par la conduite répréhensible de l'injurié, sans avoir eu le temps de réfléchir (ATF 83 IV 151 ; arrêt du Tribunal fédéral 6B_87/2013 du 13 mai 2013 consid. 4.4).</w:t>
      </w:r>
    </w:p>
    <w:p>
      <w:r>
        <w:t>- 9/19 - P/11791/2022 L'art. 177 al. 3 CP permet au juge d'exempter de toute peine les deux délinquants ou l'un d'eux si l'injurié a riposté immédiatement par une injure ou par des voies de fait. Cette disposition ne constitue qu'un simple motif facultatif d'exemption de peine (ATF 109 IV 39 consid. 4b) et ne garantit donc pas automatiquement une exemption de peine, mais confère un large pouvoir d'appréciation au juge. Dans ce contexte également, la notion d'immédiateté est une notion de temps dans le sens que l'auteur doit avoir agi sous le coup de l'émotion provoquée par la conduite de l'injurié, sans avoir eu le temps de réfléchir tranquillement (ATF 83 IV 151 ; arrêt du Tribunal fédéral 6B_938/2017 du 2 juillet 2018 consid. 5.3.2).</w:t>
      </w:r>
    </w:p>
    <w:p>
      <w:r>
        <w:rPr>
          <w:b/>
        </w:rPr>
        <w:t>E. 2.3</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Une éraflure au nez avec contusion a été considérée comme une voie de fait ; de même une meurtrissure au bras et une douleur à la mâchoire sans contusion (ATF 134 IV 189 consid. 1.2 et 1.3). Ont également été qualifiés de voies de fait : une gifle, un coup de poing ou de pied, de fortes bourrades avec les mains ou les coudes (arrêts du Tribunal fédéral 6B_693/2017 du 24 août 2017 consid. 2.1 ; 6B_1009/2014 du 2 avril 2015 consid. 4.2).</w:t>
      </w:r>
    </w:p>
    <w:p>
      <w:r>
        <w:rPr>
          <w:b/>
        </w:rPr>
        <w:t>E. 2.4</w:t>
      </w:r>
    </w:p>
    <w:p>
      <w:r>
        <w:t>En l'occurrence, une altercation verbale et physique a opposé les parties à la Jonction. L'appelant ne conteste plus en appel les faits reprochés, si bien qu'il peut être retenu qu'il a traité de "sale pute" la plaignante avant de la gifler à deux reprises en pleine rue, projetant la tête de cette dernière contre une poubelle. Les images de vidéosurveillance corroborent quoi qu'il en soit ces faits et montrent également qu'il a repoussé la plaignante de dos en direction de la route, peu avant de lui asséner une première claque au visage. Contrairement à ce que soutient l'appelant, même dans l'hypothèse où la plaignante l'aurait insulté de "connard de merde", ce qui n'est pas établi, aucune des deux parties n'en ayant fait état, cela ne justifie pas ses agissements dès lors qu'il est à l'origine de l'altercation vu son comportement inadéquat à l'égard de la femme qui l'accompagnait, puis de la plaignante, notamment par le déversement de sa boisson alcoolisée sur celle-ci, fait qu'il a admis et qui est corroboré par le témoin, et par les gifles qu'il lui a infligées, lesquelles ont engendré l'intervention d'autres participants désireux d'assurer la sécurité de la plaignante. En effet, contrairement à l'appelant qui a tenu des propos contradictoires et peu vraisemblables tout au long de la procédure, la plaignante a décrit les faits de manière cohérente, constante et mesurée, ayant notamment reconnu ne pas se souvenir que sa tête avait heurté une poubelle, ni que l'appelant l'avait aspergée d'alcool. Il est plausible qu'elle ait déjà pu être témoin d'un comportement déplacé de l'appelant auparavant, vu les antécédents et les troubles de celui-ci, ainsi que le fait qu'ils admettent tous deux s'être côtoyés dans le passé, fréquentant le même quartier. Elle est dès lors crédible lorsqu'elle déclare avoir eu peur pour la jeune femme et souhaité s'assurer de son bien-être, ce qui avait fait</w:t>
      </w:r>
    </w:p>
    <w:p>
      <w:r>
        <w:t>- 10/19 - P/11791/2022 réagir l'appelant, lequel l'avait insultée avant de s'en prendre à la femme qui l'accompagnait. La version de l'appelant, selon laquelle la plaignante aurait approché celle-ci afin d'entretenir des relations sexuelles avec elle et les aurait importunés suite à son refus, notamment en insultant sa mère et en lui crachant dessus, n'emporte pas conviction au vu de ses déclarations fluctuantes et du fait qu'il a admis avoir été alcoolisé lors des événements. Les déclarations du témoin appuient la version de la plaignante dans la mesure où on peine à comprendre pourquoi celle-ci aurait déclaré "regarde ce que tu as fait" si l'appelant n'avait eu aucun comportement répréhensible initial, comme il l'affirme pourtant, alors qu'il est plus vraisemblable, au vu des éléments au dossier, qu'il ait versé le contenu de sa boisson sur la plaignante, dès lors qu'elle avait tenté au préalable de défendre la femme qui l'accompagnait. C'est d'ailleurs en raison de ce geste que le témoin a été attentif aux événements, n'ayant pas prêté attention aux protagonistes auparavant, ce qu'il a reconnu. L'insulte qu'elle aurait éventuellement pu proférer à cet instant était liée au comportement initial provocateur de l'appelant, qui est à l'origine de l'altercation, ce qui exclut l'application de l'art. 177 al. 2 CP, d'autant plus que ses agissements subséquents étaient clairement disproportionnés, dépassant le stade de la riposte à l'éventuelle insulte proférée par la plaignante. Il ressort des témoignages et déclarations recueillis, ainsi que des images de vidéosurveillance, que le comportement de l'appelant a en effet été particulièrement inadéquat et violent. Le fait qu'il ait poursuivi la plaignante à plusieurs reprises et lui ait asséné deux gifles avec violence sur près d'une minute confirme l'inadéquation de son attitude, qui ne remplit pas l'exigence d'immédiateté requise et ne saurait conduire à l'application de l'art. 177 al. 3 CP. À cela s'ajoute que le rôle de la plaignante a été minime par rapport à celui de l'appelant et que l'éventuelle faute commise par celle-ci apparaît plus que légère, au vu des circonstances, comparée à celle du prévenu. Dans ce contexte, compte tenu de la responsabilité prépondérante de l'appelant dans le déroulement des faits, il n'y a pas matière à l'exempter de toute peine et ce, en dépit des troubles du concerné qui, selon les experts, ne diminuent que légèrement sa responsabilité et dont il conviendra de tenir compte dans le cadre de la fixation de la peine, son état mental, y compris son intoxication aigue à l'alcool au moment des faits, n'excusant pas ses agissements. L'appel de l'appelant sera partant rejeté.</w:t>
      </w:r>
    </w:p>
    <w:p>
      <w:r>
        <w:rPr>
          <w:b/>
        </w:rPr>
        <w:t>E. 3.1</w:t>
      </w:r>
    </w:p>
    <w:p>
      <w:r>
        <w:t>Les infractions de rupture de ban (art. 291 al. 1 CP), de dommages à la propriété (art. 144 al. 1 CP) et de non-respect d'une assignation à un lieu de résidence (art. 119 al. 1 LEI) sont passibles d'une peine privative de liberté de trois ans au plus ou d'une peine pécuniaire. Les voies de fait (art. 126 al. 1 CP) sont sanctionnées par une</w:t>
      </w:r>
    </w:p>
    <w:p>
      <w:r>
        <w:t>- 11/19 - P/11791/2022 amende, tout comme l'infraction à l'art. 5 al. 1 let. a de la loi fédérale sur la protection contre le tabagisme passif à un maximum de CHF 1'000.-, et l'injure (art. 177 al. 1 CP) par une peine pécuniaire de 90 jours-amende au plus.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3.2.2. Bien que la récidive ne constitue plus un motif d'aggravation obligatoire de la peine (art. 67 aCP), les antécédents continuent de jouer un rôle très important dans la fixation de celle-ci (arrêt du Tribunal fédéral 6B_1202/2014 du 14 avril 2016 consid. 3.5 ; M. NIGGLI / H. WIPRÄCHTIGER [éds], Basler Kommentar Strafrecht I : Art. 1-136 StGB, Jugendstrafgesetz, 4e éd., Bâle 2019, N 130 s. ad art. 47).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3.2.3. Conformément à l'art. 49 al. 1 CP, si, en raison d'un ou de plusieurs actes, l'auteur remplit les conditions de plusieurs peines de même genre, le juge le condamne à la peine de l'infraction la plus grave et l'augmente dans une juste proportion (al. 1). S'il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t>- 12/19 - P/11791/2022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L'art. 49 al. 2 CP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(ATF 142 IV 265 consid. 2.3.1 = JdT 2017 IV 129 ; 141 IV 61 consid. 6.1.2 p. 67 ; 138 IV 113 consid. 3.4.1 et les références). Il doit s'agir de peines de même genre (ATF 142 IV 265 consid. 2.3.2 et les références = JdT 2017 IV 129). La fixation d'une peine d'ensemble n'est pas possible en cas de sanctions de genre différent. Ainsi, une peine privative de liberté ne peut être prononcée comme peine complémentaire d'une sanction pécuniaire (ATF 142 IV 265 consid. 2.3.2 et les références = JdT 2017 IV 129 ; 138 IV 120 consid. 5.2 ; arrêts du Tribunal fédéral 6B_952/2016 et 6B_962/2016 du 29 août 2017 consid. 4.2). 3.2.4. Selon l'art. 42 al. 1 CP, le juge suspend l'exécution d'une peine pécuniaire ou d'une peine privative de liberté de deux ans au plus lorsqu'une peine ferme ne paraît pas nécessaire pour détourner l'auteur d'autres crimes ou délits. 3.2.5. La durée de la peine privative de liberté est en règle générale de trois jours au moins et de 20 ans au plus (art. 40 CP). 3.2.6.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 3.2.7. Selon l'art. 106 CP, sauf disposition contraire de la loi, le montant maximum de l'amende est de CHF 10'000.- (al. 1). Le juge prononce dans son jugement, pour le</w:t>
      </w:r>
    </w:p>
    <w:p>
      <w:r>
        <w:t>- 13/19 - P/11791/2022 cas où, de manière fautive, le condamné ne paie pas l'amende, une peine privative de liberté de substitution d'un jour au moins et de trois mois au plus (al. 2). 3.3.1. La faute de l'appelant est importante et dénote un mépris caractérisé des décisions de l'autorité ainsi que des règles et interdits en vigueur. Pour assouvir sa colère, il s'en est pris à l'intégrité corporelle et psychique ainsi qu'au patrimoine d'autrui, tout en persistant à demeurer en Suisse illégalement malgré ses précédentes condamnations pour ce motif et les multiples mesures d'expulsion prononcées à son encontre. Ses mobiles sont égoïstes et futiles. Il a cédé à la colère mal maîtrisée et agi par facilité ainsi que par convenance personnelle, alors qu'il aurait pu et dû s'abstenir de revenir à Genève, ce d'autant qu'il persiste à commettre des infractions en ce lieu. Sa collaboration à la procédure a été mauvaise. Il a pour l'essentiel nié les faits qui lui étaient reprochés, même confronté à des preuves tangibles et qui le confondait, revenant aussi sur ses déclarations. Il n'a admis sa responsabilité que pour les faits en lien avec l'illégalité de son séjour en Suisse, qu'il pouvait difficilement contester. Sa prise de conscience est inexistante, d'autant plus qu'il a expressément refusé au MP de présenter des excuses à la plaignante. Sa situation personnelle, certes obérée et difficile, ne saurait expliquer ou justifier ses agissements. Ses antécédents sont spécifiques, récents et particulièrement nombreux dès lors qu'il a été condamné à 18 reprises, en particulier pour des infractions contre l'intégrité, le patrimoine et en lien avec son séjour illégal en Suisse, et qu'il persiste encore à ce jour à commettre des infractions, vu sa dernière condamnation du 3 mai 2023 et les trois autres procédures actuellement en cours l'impliquant. Son parcours démontre qu'il est durablement ancré dans la délinquance et parfaitement imperméable aux sanctions prononcées jusqu'alors à son encontre. Il y a concours d'infractions, facteur d'aggravation de la peine, et il n'existe aucune autre circonstance atténuante que celle en lien avec la diminution légère de sa responsabilité pour les faits commis les 7 février et 30 mai 2022, conformément à l'expertise psychiatrique, qui ne conduit qu'à une très légère réduction de sa faute (cf. infra consid. 3.3.2). 3.3.2. L'appelant ne conteste à raison ni les genres de peine ni les quotités prononcées par le premier juge, au-delà de l'exemption de peine plaidée. Les peines fixées apparaissent conformes aux critères posés à l'art. 47 CP, dont le premier juge a correctement tenu compte, et sont adéquates à la situation personnelle de l'appelant. Même en tenant compte de sa condamnation du 3 mai 2023, impliquant nécessairement le prononcé d'une peine complémentaire, s'agissant de peines de même genre, la peine privative de liberté fixée à huit mois est proportionnée aux infractions commises. Si la Cour de céans avait en effet été appelée à sanctionner les</w:t>
      </w:r>
    </w:p>
    <w:p>
      <w:r>
        <w:t>- 14/19 - P/11791/2022 faits présentement reprochés et les délits commis le 3 mai 2023 (rupture de ban et non-respect d'une assignation à un lieu de résidence), elle aurait considéré que l'infraction de rupture de ban est la plus grave, compte tenu notamment de ses répétitions entre 2022 et 2023 et des antécédents du concerné, et qu'elle emporte à elle seule une peine privative de liberté de sept mois. Cette peine doit être aggravée de quatre mois pour tenir compte de l'infraction de non-respect d'une assignation à un lieu de résidence, commise à quatre reprises entre 2022 et 2023 (peine hypothétique : six mois) et de trois mois et demi pour les dommages à la propriété commis en 2022 (peine hypothétique : cinq mois), peine qui sera réduite à trois mois vu la responsabilité légèrement restreinte de l'appelant pour ces derniers faits, conformément à l'expertise psychiatrique. La peine d'ensemble serait ainsi une peine de 14 mois, dont à déduire les 180 jours (six mois) pour lesquels l'appelant a déjà été condamné le 3 mai 2023 et qui sont entrés en force. Ainsi, la peine fixée par le premier juge de huit mois, complémentaire à celle prononcée le 3 mai 2023, est adéquate et sera donc confirmée. L'injure commise le 30 mai 2022 devrait quant à elle être sanctionnée par une peine pécuniaire de 20 jours-amende mais sera fixée à 15 jours-amende, à CHF 10.- l'unité, vu la responsabilité faiblement restreinte de l'appelant. La peine prononcée par le juge de première instance sera partant également confirmée. Pour ce qui est des infractions à la loi fédérale sur la protection contre le tabagisme passif et de voies de fait commises les 7 février et 30 mai 2022, le montant de l'amende retenu consacre une application correcte des critères fixés à l'art. 47 CP et ce, même en tenant compte de la responsabilité faiblement restreinte de l'appelant et de sa contravention prononcée le 3 mai 2023 pour infraction à la LStup, impliquant à nouveau le prononcé d'une peine complémentaire. Si la Cour de céans avait été appelée à sanctionner l'ensemble de ces faits, elle aurait considéré que l'infraction abstraitement la plus grave est celle en lien avec les voies de fait, compte tenu des deux gifles infligées avec violence à la plaignante, et qu'elle emporte à elle seule une amende de CHF 700.-, laquelle sera réduite à CHF 600.- au vu de la faible diminution de la responsabilité de l'appelant. Cette peine doit être aggravée de CHF 400.- pour tenir compte de la contravention à la LStup (peine hypothétique : CHF 500.-) ainsi que de CHF 80.- pour la contravention à la loi fédérale sur la protection contre le tabagisme passif (peine hypothétique : CHF 100.-), laquelle sera diminuée de CHF 10.- vu l'état mental du concerné au moment des faits. La peine d'ensemble serait ainsi une amende de CHF 1'070.-, dont à déduire CHF 500.- pour lesquels l'appelant a déjà été condamné le 3 mai 2023 et qui sont entrés en force. Ainsi, la peine fixée par le premier juge de CHF 570.-, complémentaire à celle prononcée le 3 mai 2023 pour contravention à la LStup, est adéquate et sera donc confirmée. La peine privative de liberté de substitution sera néanmoins réduite à cinq jours vu le montant de l'amende (art. 404 al. 2 CPP).</w:t>
      </w:r>
    </w:p>
    <w:p>
      <w:r>
        <w:t>- 15/19 - P/11791/2022 Le pronostic du prévenu est défavorable, au vu de son comportement, de ses nombreux antécédents spécifiques, ainsi que du risque de récidive retenu par les experts. Des peines fermes s'imposent donc, ce que l'appelant ne conteste au demeurant pas. L'appel sera partant intégralement rejeté. Le jugement entrepris sera néanmoins annulé afin de constater le caractère complémentaire des peines menaces et de tenir compte de la modification de la peine privative de liberté de substitution.</w:t>
      </w:r>
    </w:p>
    <w:p>
      <w:r>
        <w:rPr>
          <w:b/>
        </w:rPr>
        <w:t>E. 4</w:t>
      </w:r>
    </w:p>
    <w:p>
      <w:r>
        <w:t>L'appelant sera astreint au traitement ambulatoire (art. 63 al. 1 CP) tel que préconisé par l'expertise psychiatrique, dont il n'y a pas lieu de s'écarter au vu de ses troubles et dans la mesure où il l'accepte et ne le discute pas.</w:t>
      </w:r>
    </w:p>
    <w:p>
      <w:r>
        <w:rPr>
          <w:b/>
        </w:rPr>
        <w:t>E. 5</w:t>
      </w:r>
    </w:p>
    <w:p>
      <w:r>
        <w:t>À juste titre, l'appelant ne conteste ni son expulsion (art. 66abis CP) ni l'inscription de celle-ci dans le SIS (art. 20 de l'ordonnance N-SIS), mesures en effet justifiées au vu de son comportement et du fait qu'il n'a aucune réelle attache en Suisse. Elles seront donc confirmées, y compris en ce qui concerne leur durée.</w:t>
      </w:r>
    </w:p>
    <w:p>
      <w:r>
        <w:rPr>
          <w:b/>
        </w:rPr>
        <w:t>E. 6</w:t>
      </w:r>
    </w:p>
    <w:p>
      <w:r>
        <w:t>L'appelant, qui succombe intégralement, supportera les frais de la procédure envers l'État, comprenant un émolument de jugement de CHF 1'800.- (art. 428 al. 1 CPP).</w:t>
      </w:r>
    </w:p>
    <w:p>
      <w:r>
        <w:t>Sa culpabilité étant acquise, la mise à sa charge des frais de première instance sera aussi confirmée (art. 426 al. 1 CPP a contrario).</w:t>
      </w:r>
    </w:p>
    <w:p>
      <w:r>
        <w:rPr>
          <w:b/>
        </w:rPr>
        <w:t>E. 7</w:t>
      </w:r>
    </w:p>
    <w:p>
      <w:r>
        <w:t>Aucune indemnité fondée sur l'art. 431 al. 2 CPP ne sera allouée à l'appelant, celui-ci n'y ayant pas conclu alors qu'il y avait été invité, étant souligné qu'il a purgé l'entier de sa peine avant le dépôt de son appel. Il peut ainsi être considéré qu'il y a renoncé.</w:t>
      </w:r>
    </w:p>
    <w:p>
      <w:r>
        <w:rPr>
          <w:b/>
        </w:rPr>
        <w:t>E. 8</w:t>
      </w:r>
    </w:p>
    <w:p>
      <w:r>
        <w:t>Considéré globalement, l'état de frais produit par Me B______, défenseur d'office de A______, satisfait les exigences légales et jurisprudentielles régissant l'assistance judiciaire gratuite en matière pénale.</w:t>
      </w:r>
    </w:p>
    <w:p>
      <w:r>
        <w:t>Sa rémunération sera donc arrêtée à CHF 2'003.25 correspondant à sept heures d'activité au tarif de CHF 200.-/heure (CHF 1'400.-) et une heure d'activité au tarif de CHF 150.-, plus le forfait de 20% (CHF 310.-) et la TVA (CHF 143.25). * * * * *</w:t>
      </w:r>
    </w:p>
    <w:p>
      <w:r>
        <w:t>- 16/19 - P/11791/2022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