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AARP/313/2018 vom 26. September 2018</w:t>
      </w:r>
    </w:p>
    <w:p>
      <w:r>
        <w:t>GE Cour de justice, 2018-09-26, FR</w:t>
      </w:r>
    </w:p>
    <w:p>
      <w:r>
        <w:rPr>
          <w:b/>
        </w:rPr>
        <w:t xml:space="preserve">Quelle: </w:t>
      </w:r>
      <w:r>
        <w:t>https://mcp.opencaselaw.ch/entscheid/ge_gerichte_AARP_313_2018</w:t>
      </w:r>
    </w:p>
    <w:p>
      <w:r>
        <w:t>FR: GE_GERICHTE AARP/313/2018 du 26 septembre 2018</w:t>
      </w:r>
    </w:p>
    <w:p>
      <w:r>
        <w:t>IT: GE_GERICHTE AARP/313/2018 del 26 settembre 2018</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L'appelant ne conteste pas, à juste titre, sa culpabilité, dûment établie par les éléments du dossier, pour les chefs d'infractions à l'art. 19a LStup, passible de l'amende et à l'art. 115 al. 1 let. b LEtr, infraction passible d'une peine privative de liberté d'un an au plus ou d'une peine pécuniaire. 2.2.1.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w:t>
      </w:r>
    </w:p>
    <w:p>
      <w:r>
        <w:t>- 6/11 - P/21731/2017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 2.2.2. L'art. 19 al. 1 let. c LStup réprime celui qui, sans droit, aliène ou prescrit des stupéfiants, en procure de toute autre manière à un tiers ou en met dans le commerce. L'art. 19 LStup ne réprime pas globalement le "trafic de stupéfiants", mais érige différents comportements en autant d'infractions indépendantes, chaque acte, même répété, constituant une infraction distincte (ATF 137 IV 33 consid. 2.1.3 p. 39 ; ATF 133 IV 187 consid. 3.2 p. 193 ; arrêts du Tribunal fédéral 6B_1335/2016 du 5 septembre 2017 consid. 2.2 ; 6B_474/2016 du 6 février 2017 consid. 3.1). L'infraction est intentionnelle. Le dol éventuel suffit (ATF 126 IV 201 consid. 2).</w:t>
      </w:r>
    </w:p>
    <w:p>
      <w:r>
        <w:rPr>
          <w:b/>
        </w:rPr>
        <w:t>E. 2.3</w:t>
      </w:r>
    </w:p>
    <w:p>
      <w:r>
        <w:t>En l'espèce, il est établi que le prévenu détenait, le 24 octobre 2017, dans son appartement, plus de 140 grammes de marijuana. Au fil des auditions, il a varié dans ses explications. Il a tout d'abord admis vendre de la marijuana, expliquant, avec précision, les diverses étapes de l'acquisition de la drogue ainsi que le bénéfice retiré de son trafic. Devant le Ministère public ainsi que le Tribunal de police, l'appelant a cependant nié toute implication dans un trafic de stupéfiants, affirmant avoir détenu ces 140 grammes pour sa seule consommation personnelle. Cette dernière hypothèse n'est pas crédible dans la mesure où divers emballages vides ont été retrouvés dans son appartement, de même qu'une balance et du matériel de conditionnement. La présence de deux téléphones portables dans son logement est un indice supplémentaire d'une implication dans un trafic de stupéfiants, tant il est vrai que la seule consommation ne suscite pas un tel besoin. Ses déclarations à la police étaient détaillées et corroborées par le solde de marijuana retrouvé chez lui. Ces éléments forment autant d'indices constituant un faisceau établissant son activité de vendeur de marijuana. S'y ajoutent ses antécédents spécifiques. Sa condamnation pour infraction à l'art. 19 al. 1 LStup sera partant confirmée.</w:t>
      </w:r>
    </w:p>
    <w:p>
      <w:r>
        <w:rPr>
          <w:b/>
        </w:rPr>
        <w:t>E. 3</w:t>
      </w:r>
    </w:p>
    <w:p>
      <w:r>
        <w:t>octobre 2017 consid. 4.1 ; 6B_326/2016 du 22 mars 2017 consid. 4.1). 3.2.2. Aux termes de l'art. 41 al. 1 aCP, le juge peut prononcer une peine privative de liberté ferme de moins de six mois uniquement si les conditions du sursis à l'exécution de la peine (art. 42 aCP) ne sont pas réunies et s'il y a lieu d'admettre que ni une peine pécuniaire, ni un travail d'intérêt général ne peuvent être exécutés. Il convient donc d'examiner si les conditions du sursis sont réunies ou non, selon les critères posés par l'art. 42 aCP (ATF 135 IV 180 consid. 2.1 p. 185). Lorsque le pronostic est défavorable et que, par conséquent, un sursis est exclu, il convient de déterminer si une peine pécuniaire, respectivement un travail d'intérêt général, peuvent être exécutés. 3.2.3. Conformément à l'art. 42 al. 1 aCP, le juge suspend en règle générale l'exécution d'une peine pécuniaire ou d'une peine privative de liberté de six mois au</w:t>
      </w:r>
    </w:p>
    <w:p>
      <w:r>
        <w:t>- 8/11 - P/21731/2017 moins et de deux ans au plus, lorsqu'une peine ferme ne paraît pas nécessaire pour détourner l'auteur d'autres crimes ou délits.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134 IV 1 consid. 4.2.1). 3.2.4. Selon l'art. 34 aCP, sauf disposition contraire de la loi, la peine pécuniaire ne peut excéder 360 jours-amende. Le juge fixe leur nombre en fonction de la culpabilité de l’auteur (al. 1).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(al. 2).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 mai 2008 consid. 5.1). 3.2.5. Si, durant le délai d’épreuve, le détenu libéré conditionnellement commet un crime ou un délit, le juge qui connaît de la nouvelle infraction ordonne sa réintégration dans l’établissement (art. 89 al. 1 CP).</w:t>
      </w:r>
    </w:p>
    <w:p>
      <w:r>
        <w:t>- 9/11 - P/21731/2017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Si, en raison de la nouvelle infraction, les conditions d'une peine privative de liberté ferme sont réunies et que celle-ci entre en concours avec le solde de la peine devenu exécutoire à la suite de la révocation, le juge prononce, en vertu de l'art. 49, une peine d'ensemble. Celle-ci est régie par les dispositions sur la libération conditionnelle. Si seul le solde de la peine doit être exécuté, l'art. 86, al. 1 à 4, est applicable (art. 89 al. 6 CP). 3.2.6. À teneur de l'art. 49 al. 1 CP, si, en raison d'un ou de plusieurs actes, l'auteur remplit les conditions de plusieurs peines de même genre, le juge le condamne à la peine de l'infraction la plus grave et l'augmente dans une juste proportion. Il ne peut toutefois pas excéder de plus de la moitié le maximum légal de chaque genre de peine.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rPr>
          <w:b/>
        </w:rPr>
        <w:t>E. 3.1</w:t>
      </w:r>
    </w:p>
    <w:p>
      <w:r>
        <w:t>Les nouvelles dispositions sur le droit des sanctions sont entrées en vigueur le 1er janvier 2018. Cette réforme marque globalement un durcissement. La peine pécuniaire est désormais limitée à 180 jours (art. 34 al. 1 CP).</w:t>
      </w:r>
    </w:p>
    <w:p>
      <w:r>
        <w:t>- 7/11 - P/21731/2017 À l'aune de l'art. 2 CP, cette réforme du droit des sanctions est moins favorable à la personne condamnée qui pourra ainsi revendiquer l'application du droit en vigueur au 31 décembre 2017 si les actes qu'il a commis l'ont été sous l'empire de ce droit, comme c'est le cas en l'espèce.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w:t>
      </w:r>
    </w:p>
    <w:p>
      <w:r>
        <w:rPr>
          <w:b/>
        </w:rPr>
        <w:t>E. 3.3</w:t>
      </w:r>
    </w:p>
    <w:p>
      <w:r>
        <w:t>À juste titre, l'appelant ne conteste pas, pour l'hypothèse où le verdict de culpabilité serait confirmé, la quotité de la peine infligée par le premier juge, laquelle comprend le solde de peine dont la libération conditionnelle a été révoquée. Ladite peine est en effet adéquate eu égard à l'ensemble des circonstances, notamment le fait qu'il s'agit d'une peine complémentaire. Une peine pécuniaire, comme plaidé par l'appelant pour l'infraction à la LEtr, ne serait pas suffisamment dissuasive, étant rappelé qu'une telle peine lui a déjà été infligée, ce qui ne l'a pas empêché de récidiver. De surcroît, la peine pécuniaire ne serait guère compatible avec son statut.</w:t>
      </w:r>
    </w:p>
    <w:p>
      <w:r>
        <w:rPr>
          <w:b/>
        </w:rPr>
        <w:t>E. 4</w:t>
      </w:r>
    </w:p>
    <w:p>
      <w:r>
        <w:t>L'appelant qui succombe supporte les frais de la procédure envers l'État (art. 428 CPP et art. 14 al. 1 let. e du règlement fixant le tarif des frais en matière pénale du 22 décembre 2010 [RTFMP – RS/GE E 4 10.03]), comprenant un émolument de CHF 1'000.-. * * * * *</w:t>
      </w:r>
    </w:p>
    <w:p>
      <w:r>
        <w:t>- 10/11 - P/21731/2017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